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FC3C" w14:textId="77777777" w:rsidR="00EF74A0" w:rsidRPr="007F6264" w:rsidRDefault="00EF74A0" w:rsidP="00C16EFA">
      <w:pPr>
        <w:spacing w:after="0" w:line="240" w:lineRule="auto"/>
        <w:jc w:val="right"/>
        <w:rPr>
          <w:rFonts w:ascii="Arial" w:hAnsi="Arial" w:cs="Arial"/>
        </w:rPr>
      </w:pPr>
    </w:p>
    <w:p w14:paraId="08449199" w14:textId="77777777" w:rsidR="00615E14" w:rsidRPr="007F6264" w:rsidRDefault="00615E14" w:rsidP="00C16EFA">
      <w:pPr>
        <w:spacing w:after="0" w:line="240" w:lineRule="auto"/>
        <w:jc w:val="both"/>
        <w:rPr>
          <w:rFonts w:ascii="Arial" w:hAnsi="Arial" w:cs="Arial"/>
        </w:rPr>
      </w:pPr>
    </w:p>
    <w:p w14:paraId="328629E0" w14:textId="77777777" w:rsidR="007A6A6C" w:rsidRPr="007F6264" w:rsidRDefault="007A6A6C" w:rsidP="00C16EFA">
      <w:pPr>
        <w:spacing w:after="0" w:line="240" w:lineRule="auto"/>
        <w:rPr>
          <w:rFonts w:ascii="Arial" w:hAnsi="Arial" w:cs="Arial"/>
        </w:rPr>
      </w:pPr>
    </w:p>
    <w:p w14:paraId="1E21E11A" w14:textId="4B6E1788" w:rsidR="004658F3" w:rsidRPr="007F6264" w:rsidRDefault="004658F3" w:rsidP="00C16EFA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  <w:r w:rsidRPr="007F6264">
        <w:rPr>
          <w:rFonts w:ascii="Arial" w:hAnsi="Arial" w:cs="Arial"/>
          <w:noProof/>
          <w:sz w:val="24"/>
          <w:szCs w:val="15"/>
        </w:rPr>
        <w:t xml:space="preserve">Praha, </w:t>
      </w:r>
      <w:r w:rsidR="009A29D7">
        <w:rPr>
          <w:rFonts w:ascii="Arial" w:hAnsi="Arial" w:cs="Arial"/>
          <w:noProof/>
          <w:sz w:val="24"/>
          <w:szCs w:val="15"/>
        </w:rPr>
        <w:t>10</w:t>
      </w:r>
      <w:r w:rsidRPr="007F6264">
        <w:rPr>
          <w:rFonts w:ascii="Arial" w:hAnsi="Arial" w:cs="Arial"/>
          <w:noProof/>
          <w:sz w:val="24"/>
          <w:szCs w:val="15"/>
        </w:rPr>
        <w:t xml:space="preserve">. </w:t>
      </w:r>
      <w:r w:rsidR="00E26494" w:rsidRPr="007F6264">
        <w:rPr>
          <w:rFonts w:ascii="Arial" w:hAnsi="Arial" w:cs="Arial"/>
          <w:noProof/>
          <w:sz w:val="24"/>
          <w:szCs w:val="15"/>
        </w:rPr>
        <w:t>března</w:t>
      </w:r>
      <w:r w:rsidRPr="007F6264">
        <w:rPr>
          <w:rFonts w:ascii="Arial" w:hAnsi="Arial" w:cs="Arial"/>
          <w:noProof/>
          <w:sz w:val="24"/>
          <w:szCs w:val="15"/>
        </w:rPr>
        <w:t xml:space="preserve"> 2022</w:t>
      </w:r>
    </w:p>
    <w:p w14:paraId="29BA8A55" w14:textId="396978F9" w:rsidR="007A6A6C" w:rsidRPr="007F6264" w:rsidRDefault="007A6A6C" w:rsidP="00C16EFA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4"/>
          <w:szCs w:val="15"/>
        </w:rPr>
      </w:pPr>
    </w:p>
    <w:p w14:paraId="1E52C452" w14:textId="77777777" w:rsidR="00DC22DE" w:rsidRPr="007F6264" w:rsidRDefault="00DC22DE" w:rsidP="00C16EFA">
      <w:pPr>
        <w:pStyle w:val="Nadpis1"/>
        <w:spacing w:before="0" w:beforeAutospacing="0" w:after="0" w:afterAutospacing="0"/>
        <w:jc w:val="right"/>
        <w:rPr>
          <w:rFonts w:ascii="Arial" w:hAnsi="Arial" w:cs="Arial"/>
          <w:noProof/>
          <w:sz w:val="22"/>
          <w:szCs w:val="22"/>
        </w:rPr>
      </w:pPr>
    </w:p>
    <w:p w14:paraId="2E91879E" w14:textId="77777777" w:rsidR="007F6264" w:rsidRPr="007F6264" w:rsidRDefault="007F6264" w:rsidP="00C16EFA">
      <w:pPr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 w:rsidRPr="007F6264">
        <w:rPr>
          <w:rFonts w:ascii="Arial" w:hAnsi="Arial" w:cs="Arial"/>
          <w:b/>
          <w:bCs/>
          <w:sz w:val="40"/>
          <w:szCs w:val="40"/>
        </w:rPr>
        <w:t>Investiční výhled společnosti CYRRUS pro rok 2022</w:t>
      </w:r>
    </w:p>
    <w:p w14:paraId="7D9C5210" w14:textId="5989A468" w:rsidR="00D86B39" w:rsidRDefault="00D86B39" w:rsidP="00C16EFA">
      <w:pPr>
        <w:spacing w:after="0" w:line="240" w:lineRule="auto"/>
        <w:rPr>
          <w:rFonts w:ascii="Arial" w:hAnsi="Arial" w:cs="Arial"/>
          <w:sz w:val="22"/>
        </w:rPr>
      </w:pPr>
    </w:p>
    <w:p w14:paraId="1075081F" w14:textId="77777777" w:rsidR="009A29D7" w:rsidRDefault="009A29D7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04983C7D" w14:textId="38CD24FA" w:rsidR="00EC7711" w:rsidRDefault="009A29D7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</w:t>
      </w:r>
      <w:r w:rsidR="007F6264" w:rsidRPr="007F6264">
        <w:rPr>
          <w:rFonts w:ascii="Arial" w:hAnsi="Arial" w:cs="Arial"/>
          <w:b/>
          <w:bCs/>
          <w:sz w:val="22"/>
        </w:rPr>
        <w:t xml:space="preserve">polečnost CYRRUS </w:t>
      </w:r>
      <w:r>
        <w:rPr>
          <w:rFonts w:ascii="Arial" w:hAnsi="Arial" w:cs="Arial"/>
          <w:b/>
          <w:bCs/>
          <w:sz w:val="22"/>
        </w:rPr>
        <w:t xml:space="preserve">dnes </w:t>
      </w:r>
      <w:r w:rsidR="00924009">
        <w:rPr>
          <w:rFonts w:ascii="Arial" w:hAnsi="Arial" w:cs="Arial"/>
          <w:b/>
          <w:bCs/>
          <w:sz w:val="22"/>
        </w:rPr>
        <w:t xml:space="preserve">v 15.00 hodin </w:t>
      </w:r>
      <w:r>
        <w:rPr>
          <w:rFonts w:ascii="Arial" w:hAnsi="Arial" w:cs="Arial"/>
          <w:b/>
          <w:bCs/>
          <w:sz w:val="22"/>
        </w:rPr>
        <w:t xml:space="preserve">představí investiční </w:t>
      </w:r>
      <w:r w:rsidR="007F6264" w:rsidRPr="007F6264">
        <w:rPr>
          <w:rFonts w:ascii="Arial" w:hAnsi="Arial" w:cs="Arial"/>
          <w:b/>
          <w:bCs/>
          <w:sz w:val="22"/>
        </w:rPr>
        <w:t xml:space="preserve">výhled pro rok 2022. </w:t>
      </w:r>
      <w:r w:rsidR="00924009">
        <w:rPr>
          <w:rFonts w:ascii="Arial" w:hAnsi="Arial" w:cs="Arial"/>
          <w:b/>
          <w:bCs/>
          <w:sz w:val="22"/>
        </w:rPr>
        <w:t xml:space="preserve">Registrovat se lze na adrese </w:t>
      </w:r>
      <w:hyperlink r:id="rId8" w:history="1">
        <w:r w:rsidR="00924009" w:rsidRPr="009A29D7">
          <w:rPr>
            <w:rStyle w:val="Hypertextovodkaz"/>
            <w:rFonts w:ascii="Arial" w:hAnsi="Arial" w:cs="Arial"/>
            <w:b/>
            <w:bCs/>
            <w:sz w:val="22"/>
          </w:rPr>
          <w:t>www.setkaniinvestoru.cz</w:t>
        </w:r>
      </w:hyperlink>
      <w:r w:rsidR="00924009" w:rsidRPr="009A29D7">
        <w:rPr>
          <w:rFonts w:ascii="Arial" w:hAnsi="Arial" w:cs="Arial"/>
          <w:b/>
          <w:bCs/>
          <w:sz w:val="22"/>
        </w:rPr>
        <w:t>.</w:t>
      </w:r>
      <w:r w:rsidR="00EC7711">
        <w:rPr>
          <w:rFonts w:ascii="Arial" w:hAnsi="Arial" w:cs="Arial"/>
          <w:b/>
          <w:bCs/>
          <w:sz w:val="22"/>
        </w:rPr>
        <w:t xml:space="preserve"> </w:t>
      </w:r>
      <w:r w:rsidR="00924009">
        <w:rPr>
          <w:rFonts w:ascii="Arial" w:hAnsi="Arial" w:cs="Arial"/>
          <w:b/>
          <w:bCs/>
          <w:sz w:val="22"/>
        </w:rPr>
        <w:t>CYRRUS a</w:t>
      </w:r>
      <w:r w:rsidR="007F6264" w:rsidRPr="007F6264">
        <w:rPr>
          <w:rFonts w:ascii="Arial" w:hAnsi="Arial" w:cs="Arial"/>
          <w:b/>
          <w:bCs/>
          <w:sz w:val="22"/>
        </w:rPr>
        <w:t xml:space="preserve">nalyzuje jak kondici tuzemské ekonomiky, tak i důležitých ekonomik světových. Akciovým trhům předpovídá CYRRUS </w:t>
      </w:r>
      <w:r w:rsidR="00924009">
        <w:rPr>
          <w:rFonts w:ascii="Arial" w:hAnsi="Arial" w:cs="Arial"/>
          <w:b/>
          <w:bCs/>
          <w:sz w:val="22"/>
        </w:rPr>
        <w:t>dobrý</w:t>
      </w:r>
      <w:r w:rsidR="007F6264" w:rsidRPr="007F6264">
        <w:rPr>
          <w:rFonts w:ascii="Arial" w:hAnsi="Arial" w:cs="Arial"/>
          <w:b/>
          <w:bCs/>
          <w:sz w:val="22"/>
        </w:rPr>
        <w:t xml:space="preserve"> rok</w:t>
      </w:r>
      <w:r w:rsidR="00D8229C">
        <w:rPr>
          <w:rFonts w:ascii="Arial" w:hAnsi="Arial" w:cs="Arial"/>
          <w:b/>
          <w:bCs/>
          <w:sz w:val="22"/>
        </w:rPr>
        <w:t xml:space="preserve">, i když </w:t>
      </w:r>
      <w:r w:rsidR="00C16EFA">
        <w:rPr>
          <w:rFonts w:ascii="Arial" w:hAnsi="Arial" w:cs="Arial"/>
          <w:b/>
          <w:bCs/>
          <w:sz w:val="22"/>
        </w:rPr>
        <w:t xml:space="preserve">se </w:t>
      </w:r>
      <w:r w:rsidR="00924009">
        <w:rPr>
          <w:rFonts w:ascii="Arial" w:hAnsi="Arial" w:cs="Arial"/>
          <w:b/>
          <w:bCs/>
          <w:sz w:val="22"/>
        </w:rPr>
        <w:t>v důsledku</w:t>
      </w:r>
      <w:r w:rsidR="00D8229C">
        <w:rPr>
          <w:rFonts w:ascii="Arial" w:hAnsi="Arial" w:cs="Arial"/>
          <w:b/>
          <w:bCs/>
          <w:sz w:val="22"/>
        </w:rPr>
        <w:t xml:space="preserve"> geopolitické</w:t>
      </w:r>
      <w:r w:rsidR="00924009">
        <w:rPr>
          <w:rFonts w:ascii="Arial" w:hAnsi="Arial" w:cs="Arial"/>
          <w:b/>
          <w:bCs/>
          <w:sz w:val="22"/>
        </w:rPr>
        <w:t>ho</w:t>
      </w:r>
      <w:r w:rsidR="00D8229C">
        <w:rPr>
          <w:rFonts w:ascii="Arial" w:hAnsi="Arial" w:cs="Arial"/>
          <w:b/>
          <w:bCs/>
          <w:sz w:val="22"/>
        </w:rPr>
        <w:t xml:space="preserve"> konfliktu změnilo vnímání některých sektorů</w:t>
      </w:r>
      <w:r w:rsidR="007F6264" w:rsidRPr="007F6264">
        <w:rPr>
          <w:rFonts w:ascii="Arial" w:hAnsi="Arial" w:cs="Arial"/>
          <w:b/>
          <w:bCs/>
          <w:sz w:val="22"/>
        </w:rPr>
        <w:t>. Kvůli komplikov</w:t>
      </w:r>
      <w:r w:rsidR="00C16EFA">
        <w:rPr>
          <w:rFonts w:ascii="Arial" w:hAnsi="Arial" w:cs="Arial"/>
          <w:b/>
          <w:bCs/>
          <w:sz w:val="22"/>
        </w:rPr>
        <w:t>anému</w:t>
      </w:r>
      <w:r>
        <w:rPr>
          <w:rFonts w:ascii="Arial" w:hAnsi="Arial" w:cs="Arial"/>
          <w:b/>
          <w:bCs/>
          <w:sz w:val="22"/>
        </w:rPr>
        <w:t xml:space="preserve"> </w:t>
      </w:r>
      <w:r w:rsidR="007F6264" w:rsidRPr="007F6264">
        <w:rPr>
          <w:rFonts w:ascii="Arial" w:hAnsi="Arial" w:cs="Arial"/>
          <w:b/>
          <w:bCs/>
          <w:sz w:val="22"/>
        </w:rPr>
        <w:t>makroekonomickému i investičnímu prostředí letos CYRRUS doporučuje zaměřit se na sektory jako jsou spotřebitelské služby a zboží</w:t>
      </w:r>
      <w:r w:rsidR="00924009">
        <w:rPr>
          <w:rFonts w:ascii="Arial" w:hAnsi="Arial" w:cs="Arial"/>
          <w:b/>
          <w:bCs/>
          <w:sz w:val="22"/>
        </w:rPr>
        <w:t xml:space="preserve"> </w:t>
      </w:r>
      <w:r w:rsidR="007F6264" w:rsidRPr="007F6264">
        <w:rPr>
          <w:rFonts w:ascii="Arial" w:hAnsi="Arial" w:cs="Arial"/>
          <w:b/>
          <w:bCs/>
          <w:sz w:val="22"/>
        </w:rPr>
        <w:t>a rovněž na stabilní společnosti z oblasti technologií nebo polovodičů.</w:t>
      </w:r>
      <w:r w:rsidR="00317AF0">
        <w:rPr>
          <w:rFonts w:ascii="Arial" w:hAnsi="Arial" w:cs="Arial"/>
          <w:b/>
          <w:bCs/>
          <w:sz w:val="22"/>
        </w:rPr>
        <w:t xml:space="preserve"> </w:t>
      </w:r>
    </w:p>
    <w:p w14:paraId="3008CF38" w14:textId="77777777" w:rsidR="00C16EFA" w:rsidRDefault="00C16EFA" w:rsidP="009A29D7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63C727D0" w14:textId="0C68BDB4" w:rsidR="00924009" w:rsidRPr="009A29D7" w:rsidRDefault="00924009" w:rsidP="009A29D7">
      <w:pPr>
        <w:spacing w:after="0" w:line="240" w:lineRule="auto"/>
        <w:rPr>
          <w:rFonts w:ascii="Arial" w:hAnsi="Arial" w:cs="Arial"/>
          <w:sz w:val="22"/>
        </w:rPr>
      </w:pPr>
      <w:r w:rsidRPr="009A29D7">
        <w:rPr>
          <w:rFonts w:ascii="Arial" w:hAnsi="Arial" w:cs="Arial"/>
          <w:sz w:val="22"/>
        </w:rPr>
        <w:t xml:space="preserve">Investiční výhled byl </w:t>
      </w:r>
      <w:r w:rsidR="00EC7711" w:rsidRPr="009A29D7">
        <w:rPr>
          <w:rFonts w:ascii="Arial" w:hAnsi="Arial" w:cs="Arial"/>
          <w:sz w:val="22"/>
        </w:rPr>
        <w:t xml:space="preserve">analytickým týmem společnosti CYRRUS </w:t>
      </w:r>
      <w:r w:rsidRPr="009A29D7">
        <w:rPr>
          <w:rFonts w:ascii="Arial" w:hAnsi="Arial" w:cs="Arial"/>
          <w:sz w:val="22"/>
        </w:rPr>
        <w:t xml:space="preserve">připraven na začátku </w:t>
      </w:r>
      <w:r w:rsidR="00EC7711" w:rsidRPr="009A29D7">
        <w:rPr>
          <w:rFonts w:ascii="Arial" w:hAnsi="Arial" w:cs="Arial"/>
          <w:sz w:val="22"/>
        </w:rPr>
        <w:t xml:space="preserve">letošního </w:t>
      </w:r>
      <w:r w:rsidRPr="009A29D7">
        <w:rPr>
          <w:rFonts w:ascii="Arial" w:hAnsi="Arial" w:cs="Arial"/>
          <w:sz w:val="22"/>
        </w:rPr>
        <w:t>roku</w:t>
      </w:r>
      <w:r w:rsidR="00EC7711" w:rsidRPr="009A29D7">
        <w:rPr>
          <w:rFonts w:ascii="Arial" w:hAnsi="Arial" w:cs="Arial"/>
          <w:sz w:val="22"/>
        </w:rPr>
        <w:t>. V souvislosti s probíhajícím vojenským konfliktem na Ukrajině prošel revizí, nicméně situace se stále</w:t>
      </w:r>
      <w:r w:rsidRPr="009A29D7">
        <w:rPr>
          <w:rFonts w:ascii="Arial" w:hAnsi="Arial" w:cs="Arial"/>
          <w:sz w:val="22"/>
        </w:rPr>
        <w:t xml:space="preserve"> dynamicky a nepředvídatelně vyvíjí</w:t>
      </w:r>
      <w:r w:rsidR="00EC7711" w:rsidRPr="009A29D7">
        <w:rPr>
          <w:rFonts w:ascii="Arial" w:hAnsi="Arial" w:cs="Arial"/>
          <w:sz w:val="22"/>
        </w:rPr>
        <w:t>.</w:t>
      </w:r>
    </w:p>
    <w:p w14:paraId="423B0E45" w14:textId="77777777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</w:p>
    <w:p w14:paraId="6E9F3C43" w14:textId="7716AE51" w:rsidR="007F6264" w:rsidRPr="001F4169" w:rsidRDefault="007F6264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1F4169">
        <w:rPr>
          <w:rFonts w:ascii="Arial" w:hAnsi="Arial" w:cs="Arial"/>
          <w:b/>
          <w:bCs/>
          <w:sz w:val="22"/>
        </w:rPr>
        <w:t xml:space="preserve">CYRRUS v roce 2022 předpovídá české ekonomice </w:t>
      </w:r>
      <w:r w:rsidR="00EC7711" w:rsidRPr="009A29D7">
        <w:rPr>
          <w:rFonts w:ascii="Arial" w:hAnsi="Arial" w:cs="Arial"/>
          <w:b/>
          <w:bCs/>
          <w:sz w:val="22"/>
        </w:rPr>
        <w:t>2</w:t>
      </w:r>
      <w:r w:rsidRPr="00C16EFA">
        <w:rPr>
          <w:rFonts w:ascii="Arial" w:hAnsi="Arial" w:cs="Arial"/>
          <w:b/>
          <w:bCs/>
          <w:sz w:val="22"/>
        </w:rPr>
        <w:t>,</w:t>
      </w:r>
      <w:r w:rsidR="006F71E9">
        <w:rPr>
          <w:rFonts w:ascii="Arial" w:hAnsi="Arial" w:cs="Arial"/>
          <w:b/>
          <w:bCs/>
          <w:sz w:val="22"/>
        </w:rPr>
        <w:t>2</w:t>
      </w:r>
      <w:r w:rsidRPr="00C16EFA">
        <w:rPr>
          <w:rFonts w:ascii="Arial" w:hAnsi="Arial" w:cs="Arial"/>
          <w:b/>
          <w:bCs/>
          <w:sz w:val="22"/>
        </w:rPr>
        <w:t>% růst</w:t>
      </w:r>
    </w:p>
    <w:p w14:paraId="0C45C48F" w14:textId="33F7E23B" w:rsid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 xml:space="preserve">Zatímco v </w:t>
      </w:r>
      <w:r w:rsidR="001F4169" w:rsidRPr="007F6264">
        <w:rPr>
          <w:rFonts w:ascii="Arial" w:hAnsi="Arial" w:cs="Arial"/>
          <w:sz w:val="22"/>
        </w:rPr>
        <w:t>prvních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m</w:t>
      </w:r>
      <w:r w:rsidR="001F4169">
        <w:rPr>
          <w:rFonts w:ascii="Arial" w:hAnsi="Arial" w:cs="Arial"/>
          <w:sz w:val="22"/>
        </w:rPr>
        <w:t>ě</w:t>
      </w:r>
      <w:r w:rsidR="001F4169" w:rsidRPr="007F6264">
        <w:rPr>
          <w:rFonts w:ascii="Arial" w:hAnsi="Arial" w:cs="Arial"/>
          <w:sz w:val="22"/>
        </w:rPr>
        <w:t>sících</w:t>
      </w:r>
      <w:r w:rsidRPr="007F6264">
        <w:rPr>
          <w:rFonts w:ascii="Arial" w:hAnsi="Arial" w:cs="Arial"/>
          <w:sz w:val="22"/>
        </w:rPr>
        <w:t xml:space="preserve"> roku 2021 byla </w:t>
      </w:r>
      <w:r w:rsidR="001F4169" w:rsidRPr="007F6264">
        <w:rPr>
          <w:rFonts w:ascii="Arial" w:hAnsi="Arial" w:cs="Arial"/>
          <w:sz w:val="22"/>
        </w:rPr>
        <w:t>průmyslová</w:t>
      </w:r>
      <w:r w:rsidRPr="007F6264">
        <w:rPr>
          <w:rFonts w:ascii="Arial" w:hAnsi="Arial" w:cs="Arial"/>
          <w:sz w:val="22"/>
        </w:rPr>
        <w:t xml:space="preserve"> orientace české ekonomiky </w:t>
      </w:r>
      <w:r w:rsidR="001F4169" w:rsidRPr="007F6264">
        <w:rPr>
          <w:rFonts w:ascii="Arial" w:hAnsi="Arial" w:cs="Arial"/>
          <w:sz w:val="22"/>
        </w:rPr>
        <w:t>považována</w:t>
      </w:r>
      <w:r w:rsidRPr="007F6264">
        <w:rPr>
          <w:rFonts w:ascii="Arial" w:hAnsi="Arial" w:cs="Arial"/>
          <w:sz w:val="22"/>
        </w:rPr>
        <w:t xml:space="preserve"> za </w:t>
      </w:r>
      <w:r w:rsidR="001F4169" w:rsidRPr="007F6264">
        <w:rPr>
          <w:rFonts w:ascii="Arial" w:hAnsi="Arial" w:cs="Arial"/>
          <w:sz w:val="22"/>
        </w:rPr>
        <w:t>výhodu</w:t>
      </w:r>
      <w:r w:rsidRPr="007F6264">
        <w:rPr>
          <w:rFonts w:ascii="Arial" w:hAnsi="Arial" w:cs="Arial"/>
          <w:sz w:val="22"/>
        </w:rPr>
        <w:t xml:space="preserve">, realita byla nakonec </w:t>
      </w:r>
      <w:r w:rsidR="001F4169" w:rsidRPr="007F6264">
        <w:rPr>
          <w:rFonts w:ascii="Arial" w:hAnsi="Arial" w:cs="Arial"/>
          <w:sz w:val="22"/>
        </w:rPr>
        <w:t>výrazně</w:t>
      </w:r>
      <w:r w:rsidRPr="007F6264">
        <w:rPr>
          <w:rFonts w:ascii="Arial" w:hAnsi="Arial" w:cs="Arial"/>
          <w:sz w:val="22"/>
        </w:rPr>
        <w:t xml:space="preserve"> pochmurnější. Poskytovatelé </w:t>
      </w:r>
      <w:r w:rsidR="001F4169" w:rsidRPr="007F6264">
        <w:rPr>
          <w:rFonts w:ascii="Arial" w:hAnsi="Arial" w:cs="Arial"/>
          <w:sz w:val="22"/>
        </w:rPr>
        <w:t>služeb</w:t>
      </w:r>
      <w:r w:rsidRPr="007F6264">
        <w:rPr>
          <w:rFonts w:ascii="Arial" w:hAnsi="Arial" w:cs="Arial"/>
          <w:sz w:val="22"/>
        </w:rPr>
        <w:t xml:space="preserve"> se </w:t>
      </w:r>
      <w:r w:rsidR="001F4169" w:rsidRPr="007F6264">
        <w:rPr>
          <w:rFonts w:ascii="Arial" w:hAnsi="Arial" w:cs="Arial"/>
          <w:sz w:val="22"/>
        </w:rPr>
        <w:t>totiž</w:t>
      </w:r>
      <w:r w:rsidRPr="007F6264">
        <w:rPr>
          <w:rFonts w:ascii="Arial" w:hAnsi="Arial" w:cs="Arial"/>
          <w:sz w:val="22"/>
        </w:rPr>
        <w:t xml:space="preserve"> po </w:t>
      </w:r>
      <w:r w:rsidR="001F4169" w:rsidRPr="007F6264">
        <w:rPr>
          <w:rFonts w:ascii="Arial" w:hAnsi="Arial" w:cs="Arial"/>
          <w:sz w:val="22"/>
        </w:rPr>
        <w:t>opětovném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uvolnění</w:t>
      </w:r>
      <w:r w:rsidRPr="007F6264">
        <w:rPr>
          <w:rFonts w:ascii="Arial" w:hAnsi="Arial" w:cs="Arial"/>
          <w:sz w:val="22"/>
        </w:rPr>
        <w:t xml:space="preserve"> restrikcí mohli do </w:t>
      </w:r>
      <w:r w:rsidR="001F4169" w:rsidRPr="007F6264">
        <w:rPr>
          <w:rFonts w:ascii="Arial" w:hAnsi="Arial" w:cs="Arial"/>
          <w:sz w:val="22"/>
        </w:rPr>
        <w:t>značné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míry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neomezeně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vrátit</w:t>
      </w:r>
      <w:r w:rsidRPr="007F6264">
        <w:rPr>
          <w:rFonts w:ascii="Arial" w:hAnsi="Arial" w:cs="Arial"/>
          <w:sz w:val="22"/>
        </w:rPr>
        <w:t xml:space="preserve"> k </w:t>
      </w:r>
      <w:r w:rsidR="001F4169" w:rsidRPr="007F6264">
        <w:rPr>
          <w:rFonts w:ascii="Arial" w:hAnsi="Arial" w:cs="Arial"/>
          <w:sz w:val="22"/>
        </w:rPr>
        <w:t>předchozí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aktivitě</w:t>
      </w:r>
      <w:r w:rsidRPr="007F6264">
        <w:rPr>
          <w:rFonts w:ascii="Arial" w:hAnsi="Arial" w:cs="Arial"/>
          <w:sz w:val="22"/>
        </w:rPr>
        <w:t xml:space="preserve">, </w:t>
      </w:r>
      <w:r w:rsidR="001F4169" w:rsidRPr="007F6264">
        <w:rPr>
          <w:rFonts w:ascii="Arial" w:hAnsi="Arial" w:cs="Arial"/>
          <w:sz w:val="22"/>
        </w:rPr>
        <w:t>průmysl</w:t>
      </w:r>
      <w:r w:rsidRPr="007F6264">
        <w:rPr>
          <w:rFonts w:ascii="Arial" w:hAnsi="Arial" w:cs="Arial"/>
          <w:sz w:val="22"/>
        </w:rPr>
        <w:t xml:space="preserve"> však narazil na </w:t>
      </w:r>
      <w:r w:rsidR="001F4169" w:rsidRPr="007F6264">
        <w:rPr>
          <w:rFonts w:ascii="Arial" w:hAnsi="Arial" w:cs="Arial"/>
          <w:sz w:val="22"/>
        </w:rPr>
        <w:t>výpadky</w:t>
      </w:r>
      <w:r w:rsidRPr="007F6264">
        <w:rPr>
          <w:rFonts w:ascii="Arial" w:hAnsi="Arial" w:cs="Arial"/>
          <w:sz w:val="22"/>
        </w:rPr>
        <w:t xml:space="preserve"> v </w:t>
      </w:r>
      <w:r w:rsidR="001F4169" w:rsidRPr="007F6264">
        <w:rPr>
          <w:rFonts w:ascii="Arial" w:hAnsi="Arial" w:cs="Arial"/>
          <w:sz w:val="22"/>
        </w:rPr>
        <w:t>dodavatelských</w:t>
      </w:r>
      <w:r w:rsidRPr="007F6264">
        <w:rPr>
          <w:rFonts w:ascii="Arial" w:hAnsi="Arial" w:cs="Arial"/>
          <w:sz w:val="22"/>
        </w:rPr>
        <w:t xml:space="preserve"> řetězcích. Ty </w:t>
      </w:r>
      <w:r w:rsidR="001F4169" w:rsidRPr="007F6264">
        <w:rPr>
          <w:rFonts w:ascii="Arial" w:hAnsi="Arial" w:cs="Arial"/>
          <w:sz w:val="22"/>
        </w:rPr>
        <w:t>nedokázaly</w:t>
      </w:r>
      <w:r w:rsidRPr="007F6264">
        <w:rPr>
          <w:rFonts w:ascii="Arial" w:hAnsi="Arial" w:cs="Arial"/>
          <w:sz w:val="22"/>
        </w:rPr>
        <w:t xml:space="preserve"> uspokojovat </w:t>
      </w:r>
      <w:r w:rsidR="001F4169" w:rsidRPr="007F6264">
        <w:rPr>
          <w:rFonts w:ascii="Arial" w:hAnsi="Arial" w:cs="Arial"/>
          <w:sz w:val="22"/>
        </w:rPr>
        <w:t>poptávku</w:t>
      </w:r>
      <w:r w:rsidRPr="007F6264">
        <w:rPr>
          <w:rFonts w:ascii="Arial" w:hAnsi="Arial" w:cs="Arial"/>
          <w:sz w:val="22"/>
        </w:rPr>
        <w:t xml:space="preserve">, </w:t>
      </w:r>
      <w:r w:rsidR="001F4169" w:rsidRPr="007F6264">
        <w:rPr>
          <w:rFonts w:ascii="Arial" w:hAnsi="Arial" w:cs="Arial"/>
          <w:sz w:val="22"/>
        </w:rPr>
        <w:t>která</w:t>
      </w:r>
      <w:r w:rsidRPr="007F6264">
        <w:rPr>
          <w:rFonts w:ascii="Arial" w:hAnsi="Arial" w:cs="Arial"/>
          <w:sz w:val="22"/>
        </w:rPr>
        <w:t xml:space="preserve">́ se </w:t>
      </w:r>
      <w:r w:rsidR="001F4169" w:rsidRPr="007F6264">
        <w:rPr>
          <w:rFonts w:ascii="Arial" w:hAnsi="Arial" w:cs="Arial"/>
          <w:sz w:val="22"/>
        </w:rPr>
        <w:t>během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pandemických</w:t>
      </w:r>
      <w:r w:rsidRPr="007F6264">
        <w:rPr>
          <w:rFonts w:ascii="Arial" w:hAnsi="Arial" w:cs="Arial"/>
          <w:sz w:val="22"/>
        </w:rPr>
        <w:t xml:space="preserve"> měsíců nahromadila, a </w:t>
      </w:r>
      <w:r w:rsidR="001F4169" w:rsidRPr="007F6264">
        <w:rPr>
          <w:rFonts w:ascii="Arial" w:hAnsi="Arial" w:cs="Arial"/>
          <w:sz w:val="22"/>
        </w:rPr>
        <w:t>kromě</w:t>
      </w:r>
      <w:r w:rsidRPr="007F6264">
        <w:rPr>
          <w:rFonts w:ascii="Arial" w:hAnsi="Arial" w:cs="Arial"/>
          <w:sz w:val="22"/>
        </w:rPr>
        <w:t xml:space="preserve"> toho byly jejich </w:t>
      </w:r>
      <w:r w:rsidR="001F4169" w:rsidRPr="007F6264">
        <w:rPr>
          <w:rFonts w:ascii="Arial" w:hAnsi="Arial" w:cs="Arial"/>
          <w:sz w:val="22"/>
        </w:rPr>
        <w:t>jednotlivé</w:t>
      </w:r>
      <w:r w:rsidRPr="007F6264">
        <w:rPr>
          <w:rFonts w:ascii="Arial" w:hAnsi="Arial" w:cs="Arial"/>
          <w:sz w:val="22"/>
        </w:rPr>
        <w:t xml:space="preserve"> články střídavě </w:t>
      </w:r>
      <w:r w:rsidR="001F4169" w:rsidRPr="007F6264">
        <w:rPr>
          <w:rFonts w:ascii="Arial" w:hAnsi="Arial" w:cs="Arial"/>
          <w:sz w:val="22"/>
        </w:rPr>
        <w:t>opět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omezovány</w:t>
      </w:r>
      <w:r w:rsidRPr="007F6264">
        <w:rPr>
          <w:rFonts w:ascii="Arial" w:hAnsi="Arial" w:cs="Arial"/>
          <w:sz w:val="22"/>
        </w:rPr>
        <w:t xml:space="preserve"> restrikcemi. </w:t>
      </w:r>
    </w:p>
    <w:p w14:paraId="7F18B730" w14:textId="77777777" w:rsidR="001F4169" w:rsidRPr="007F6264" w:rsidRDefault="001F4169" w:rsidP="00C16EFA">
      <w:pPr>
        <w:spacing w:after="0" w:line="240" w:lineRule="auto"/>
        <w:rPr>
          <w:rFonts w:ascii="Arial" w:hAnsi="Arial" w:cs="Arial"/>
          <w:sz w:val="22"/>
        </w:rPr>
      </w:pPr>
    </w:p>
    <w:p w14:paraId="6B926169" w14:textId="2693E239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1F4169">
        <w:rPr>
          <w:rFonts w:ascii="Arial" w:hAnsi="Arial" w:cs="Arial"/>
          <w:i/>
          <w:iCs/>
          <w:sz w:val="22"/>
        </w:rPr>
        <w:t xml:space="preserve">„Po propadu o 5,8 % v roce 2020 </w:t>
      </w:r>
      <w:r w:rsidR="009A29D7" w:rsidRPr="001F4169">
        <w:rPr>
          <w:rFonts w:ascii="Arial" w:hAnsi="Arial" w:cs="Arial"/>
          <w:i/>
          <w:iCs/>
          <w:sz w:val="22"/>
        </w:rPr>
        <w:t xml:space="preserve">neprožila </w:t>
      </w:r>
      <w:r w:rsidRPr="001F4169">
        <w:rPr>
          <w:rFonts w:ascii="Arial" w:hAnsi="Arial" w:cs="Arial"/>
          <w:i/>
          <w:iCs/>
          <w:sz w:val="22"/>
        </w:rPr>
        <w:t xml:space="preserve">česká ekonomika ani příliš vydařený rok 2021. Za ten si sice připsala růst, v rámci Evropy však o podprůměrných 3,3 %. </w:t>
      </w:r>
      <w:r w:rsidR="00711950">
        <w:rPr>
          <w:rFonts w:ascii="Arial" w:hAnsi="Arial" w:cs="Arial"/>
          <w:i/>
          <w:iCs/>
          <w:sz w:val="22"/>
        </w:rPr>
        <w:t>Vyhlídky pro letošní rok byly ještě v lednu poměrně nadějné a očekávali jsme zrychlení růstu. Naše očekávání jsme však kvůli geopolitické situaci museli revidovat dolů. Česká ekonomika vykáže letos růst poblíž 2,</w:t>
      </w:r>
      <w:r w:rsidR="006F71E9">
        <w:rPr>
          <w:rFonts w:ascii="Arial" w:hAnsi="Arial" w:cs="Arial"/>
          <w:i/>
          <w:iCs/>
          <w:sz w:val="22"/>
        </w:rPr>
        <w:t>2</w:t>
      </w:r>
      <w:r w:rsidR="00711950">
        <w:rPr>
          <w:rFonts w:ascii="Arial" w:hAnsi="Arial" w:cs="Arial"/>
          <w:i/>
          <w:iCs/>
          <w:sz w:val="22"/>
        </w:rPr>
        <w:t xml:space="preserve"> %,“</w:t>
      </w:r>
      <w:r w:rsidRPr="007F6264">
        <w:rPr>
          <w:rFonts w:ascii="Arial" w:hAnsi="Arial" w:cs="Arial"/>
          <w:sz w:val="22"/>
        </w:rPr>
        <w:t xml:space="preserve"> říká Vít Hradil, hlavní ekonom společnosti CYRRUS.</w:t>
      </w:r>
    </w:p>
    <w:p w14:paraId="4496AF22" w14:textId="77777777" w:rsidR="001F4169" w:rsidRDefault="001F4169" w:rsidP="00C16EFA">
      <w:pPr>
        <w:spacing w:after="0" w:line="240" w:lineRule="auto"/>
        <w:rPr>
          <w:rFonts w:ascii="Arial" w:hAnsi="Arial" w:cs="Arial"/>
          <w:sz w:val="22"/>
        </w:rPr>
      </w:pPr>
    </w:p>
    <w:p w14:paraId="6485997F" w14:textId="77777777" w:rsidR="00571E21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 xml:space="preserve">Nezaměstnanost zůstala velice nízká po celou dobu pandemie. Napomáhaly tomu vládní programy na podporu zaměstnanosti, odliv zahraničních pracovníků a také chronický nedostatek zaměstnanců. Z tohoto stavu pak </w:t>
      </w:r>
      <w:r w:rsidR="001F4169" w:rsidRPr="007F6264">
        <w:rPr>
          <w:rFonts w:ascii="Arial" w:hAnsi="Arial" w:cs="Arial"/>
          <w:sz w:val="22"/>
        </w:rPr>
        <w:t>vyplýval</w:t>
      </w:r>
      <w:r w:rsidRPr="007F6264">
        <w:rPr>
          <w:rFonts w:ascii="Arial" w:hAnsi="Arial" w:cs="Arial"/>
          <w:sz w:val="22"/>
        </w:rPr>
        <w:t xml:space="preserve"> i </w:t>
      </w:r>
      <w:r w:rsidR="001F4169" w:rsidRPr="007F6264">
        <w:rPr>
          <w:rFonts w:ascii="Arial" w:hAnsi="Arial" w:cs="Arial"/>
          <w:sz w:val="22"/>
        </w:rPr>
        <w:t>nadále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svižný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růst</w:t>
      </w:r>
      <w:r w:rsidRPr="007F6264">
        <w:rPr>
          <w:rFonts w:ascii="Arial" w:hAnsi="Arial" w:cs="Arial"/>
          <w:sz w:val="22"/>
        </w:rPr>
        <w:t xml:space="preserve"> če</w:t>
      </w:r>
      <w:r w:rsidR="001F4169">
        <w:rPr>
          <w:rFonts w:ascii="Arial" w:hAnsi="Arial" w:cs="Arial"/>
          <w:sz w:val="22"/>
        </w:rPr>
        <w:t>s</w:t>
      </w:r>
      <w:r w:rsidRPr="007F6264">
        <w:rPr>
          <w:rFonts w:ascii="Arial" w:hAnsi="Arial" w:cs="Arial"/>
          <w:sz w:val="22"/>
        </w:rPr>
        <w:t xml:space="preserve">kých mezd, </w:t>
      </w:r>
      <w:r w:rsidR="001F4169" w:rsidRPr="007F6264">
        <w:rPr>
          <w:rFonts w:ascii="Arial" w:hAnsi="Arial" w:cs="Arial"/>
          <w:sz w:val="22"/>
        </w:rPr>
        <w:t>který</w:t>
      </w:r>
      <w:r w:rsidRPr="007F6264">
        <w:rPr>
          <w:rFonts w:ascii="Arial" w:hAnsi="Arial" w:cs="Arial"/>
          <w:sz w:val="22"/>
        </w:rPr>
        <w:t xml:space="preserve"> v roce 2021 </w:t>
      </w:r>
      <w:r w:rsidR="001F4169" w:rsidRPr="007F6264">
        <w:rPr>
          <w:rFonts w:ascii="Arial" w:hAnsi="Arial" w:cs="Arial"/>
          <w:sz w:val="22"/>
        </w:rPr>
        <w:t>pravděpodobně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dosáhne</w:t>
      </w:r>
      <w:r w:rsidRPr="007F6264">
        <w:rPr>
          <w:rFonts w:ascii="Arial" w:hAnsi="Arial" w:cs="Arial"/>
          <w:sz w:val="22"/>
        </w:rPr>
        <w:t xml:space="preserve"> </w:t>
      </w:r>
      <w:r w:rsidR="001F4169" w:rsidRPr="007F6264">
        <w:rPr>
          <w:rFonts w:ascii="Arial" w:hAnsi="Arial" w:cs="Arial"/>
          <w:sz w:val="22"/>
        </w:rPr>
        <w:t>téměř</w:t>
      </w:r>
      <w:r w:rsidRPr="007F6264">
        <w:rPr>
          <w:rFonts w:ascii="Arial" w:hAnsi="Arial" w:cs="Arial"/>
          <w:sz w:val="22"/>
        </w:rPr>
        <w:t xml:space="preserve"> </w:t>
      </w:r>
    </w:p>
    <w:p w14:paraId="69AFF393" w14:textId="18789A73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>6 %.</w:t>
      </w:r>
      <w:r w:rsidR="001F4169">
        <w:rPr>
          <w:rFonts w:ascii="Arial" w:hAnsi="Arial" w:cs="Arial"/>
          <w:sz w:val="22"/>
        </w:rPr>
        <w:t xml:space="preserve"> </w:t>
      </w:r>
      <w:r w:rsidRPr="00EA796B">
        <w:rPr>
          <w:rFonts w:ascii="Arial" w:hAnsi="Arial" w:cs="Arial"/>
          <w:i/>
          <w:iCs/>
          <w:sz w:val="22"/>
        </w:rPr>
        <w:t xml:space="preserve">„I v roce 2022 očekáváme, že budou zaměstnanci ve vyjednáváních o mzdách tahat za delší konec provazu. Průměrná míra nezaměstnanosti dosáhne </w:t>
      </w:r>
      <w:r w:rsidRPr="006F71E9">
        <w:rPr>
          <w:rFonts w:ascii="Arial" w:hAnsi="Arial" w:cs="Arial"/>
          <w:i/>
          <w:iCs/>
          <w:sz w:val="22"/>
        </w:rPr>
        <w:t>3,</w:t>
      </w:r>
      <w:r w:rsidR="006F71E9">
        <w:rPr>
          <w:rFonts w:ascii="Arial" w:hAnsi="Arial" w:cs="Arial"/>
          <w:i/>
          <w:iCs/>
          <w:sz w:val="22"/>
        </w:rPr>
        <w:t>3</w:t>
      </w:r>
      <w:r w:rsidRPr="006F71E9">
        <w:rPr>
          <w:rFonts w:ascii="Arial" w:hAnsi="Arial" w:cs="Arial"/>
          <w:i/>
          <w:iCs/>
          <w:sz w:val="22"/>
        </w:rPr>
        <w:t xml:space="preserve"> %</w:t>
      </w:r>
      <w:r w:rsidRPr="00EA796B">
        <w:rPr>
          <w:rFonts w:ascii="Arial" w:hAnsi="Arial" w:cs="Arial"/>
          <w:i/>
          <w:iCs/>
          <w:sz w:val="22"/>
        </w:rPr>
        <w:t xml:space="preserve"> a mzdy narostou o 6,8 %,“</w:t>
      </w:r>
      <w:r w:rsidRPr="007F6264">
        <w:rPr>
          <w:rFonts w:ascii="Arial" w:hAnsi="Arial" w:cs="Arial"/>
          <w:sz w:val="22"/>
        </w:rPr>
        <w:t xml:space="preserve"> předpovídá Vít Hradil.</w:t>
      </w:r>
    </w:p>
    <w:p w14:paraId="7386656A" w14:textId="77777777" w:rsidR="001F4169" w:rsidRDefault="001F4169" w:rsidP="00C16EFA">
      <w:pPr>
        <w:spacing w:after="0" w:line="240" w:lineRule="auto"/>
        <w:rPr>
          <w:rFonts w:ascii="Arial" w:hAnsi="Arial" w:cs="Arial"/>
          <w:sz w:val="22"/>
        </w:rPr>
      </w:pPr>
    </w:p>
    <w:p w14:paraId="1E20471D" w14:textId="733C1E85" w:rsidR="007F6264" w:rsidRPr="00EA796B" w:rsidRDefault="00EA796B" w:rsidP="00C16EFA">
      <w:pPr>
        <w:spacing w:after="0" w:line="240" w:lineRule="auto"/>
        <w:rPr>
          <w:rFonts w:ascii="Arial" w:hAnsi="Arial" w:cs="Arial"/>
          <w:i/>
          <w:iCs/>
          <w:sz w:val="22"/>
        </w:rPr>
      </w:pPr>
      <w:r w:rsidRPr="00D8229C">
        <w:rPr>
          <w:rFonts w:ascii="Arial" w:hAnsi="Arial" w:cs="Arial"/>
          <w:sz w:val="22"/>
        </w:rPr>
        <w:t>Právě</w:t>
      </w:r>
      <w:r w:rsidR="007F6264" w:rsidRPr="00D8229C">
        <w:rPr>
          <w:rFonts w:ascii="Arial" w:hAnsi="Arial" w:cs="Arial"/>
          <w:sz w:val="22"/>
        </w:rPr>
        <w:t xml:space="preserve"> napjatý trh </w:t>
      </w:r>
      <w:r w:rsidRPr="00D8229C">
        <w:rPr>
          <w:rFonts w:ascii="Arial" w:hAnsi="Arial" w:cs="Arial"/>
          <w:sz w:val="22"/>
        </w:rPr>
        <w:t>práce</w:t>
      </w:r>
      <w:r w:rsidR="007F6264" w:rsidRPr="00D8229C">
        <w:rPr>
          <w:rFonts w:ascii="Arial" w:hAnsi="Arial" w:cs="Arial"/>
          <w:sz w:val="22"/>
        </w:rPr>
        <w:t xml:space="preserve"> v kombinaci s </w:t>
      </w:r>
      <w:r w:rsidRPr="00D8229C">
        <w:rPr>
          <w:rFonts w:ascii="Arial" w:hAnsi="Arial" w:cs="Arial"/>
          <w:sz w:val="22"/>
        </w:rPr>
        <w:t>globálními</w:t>
      </w:r>
      <w:r w:rsidR="007F6264" w:rsidRPr="00D8229C">
        <w:rPr>
          <w:rFonts w:ascii="Arial" w:hAnsi="Arial" w:cs="Arial"/>
          <w:sz w:val="22"/>
        </w:rPr>
        <w:t xml:space="preserve"> </w:t>
      </w:r>
      <w:r w:rsidRPr="00D8229C">
        <w:rPr>
          <w:rFonts w:ascii="Arial" w:hAnsi="Arial" w:cs="Arial"/>
          <w:sz w:val="22"/>
        </w:rPr>
        <w:t>proinflačními</w:t>
      </w:r>
      <w:r w:rsidR="007F6264" w:rsidRPr="00D8229C">
        <w:rPr>
          <w:rFonts w:ascii="Arial" w:hAnsi="Arial" w:cs="Arial"/>
          <w:sz w:val="22"/>
        </w:rPr>
        <w:t xml:space="preserve"> vlivy v </w:t>
      </w:r>
      <w:r w:rsidRPr="00D8229C">
        <w:rPr>
          <w:rFonts w:ascii="Arial" w:hAnsi="Arial" w:cs="Arial"/>
          <w:sz w:val="22"/>
        </w:rPr>
        <w:t>Česku</w:t>
      </w:r>
      <w:r w:rsidR="007F6264" w:rsidRPr="00D8229C">
        <w:rPr>
          <w:rFonts w:ascii="Arial" w:hAnsi="Arial" w:cs="Arial"/>
          <w:sz w:val="22"/>
        </w:rPr>
        <w:t xml:space="preserve"> </w:t>
      </w:r>
      <w:r w:rsidRPr="00D8229C">
        <w:rPr>
          <w:rFonts w:ascii="Arial" w:hAnsi="Arial" w:cs="Arial"/>
          <w:sz w:val="22"/>
        </w:rPr>
        <w:t>ovšem</w:t>
      </w:r>
      <w:r w:rsidR="007F6264" w:rsidRPr="00D8229C">
        <w:rPr>
          <w:rFonts w:ascii="Arial" w:hAnsi="Arial" w:cs="Arial"/>
          <w:sz w:val="22"/>
        </w:rPr>
        <w:t xml:space="preserve"> přispívá k rychle </w:t>
      </w:r>
      <w:r w:rsidRPr="00D8229C">
        <w:rPr>
          <w:rFonts w:ascii="Arial" w:hAnsi="Arial" w:cs="Arial"/>
          <w:sz w:val="22"/>
        </w:rPr>
        <w:t>rostoucí</w:t>
      </w:r>
      <w:r w:rsidR="007F6264" w:rsidRPr="00D8229C">
        <w:rPr>
          <w:rFonts w:ascii="Arial" w:hAnsi="Arial" w:cs="Arial"/>
          <w:sz w:val="22"/>
        </w:rPr>
        <w:t xml:space="preserve"> </w:t>
      </w:r>
      <w:r w:rsidRPr="00D8229C">
        <w:rPr>
          <w:rFonts w:ascii="Arial" w:hAnsi="Arial" w:cs="Arial"/>
          <w:sz w:val="22"/>
        </w:rPr>
        <w:t>cenové</w:t>
      </w:r>
      <w:r w:rsidR="007F6264" w:rsidRPr="00D8229C">
        <w:rPr>
          <w:rFonts w:ascii="Arial" w:hAnsi="Arial" w:cs="Arial"/>
          <w:sz w:val="22"/>
        </w:rPr>
        <w:t xml:space="preserve"> </w:t>
      </w:r>
      <w:r w:rsidRPr="00D8229C">
        <w:rPr>
          <w:rFonts w:ascii="Arial" w:hAnsi="Arial" w:cs="Arial"/>
          <w:sz w:val="22"/>
        </w:rPr>
        <w:t>hladině</w:t>
      </w:r>
      <w:r w:rsidR="007F6264" w:rsidRPr="00D8229C">
        <w:rPr>
          <w:rFonts w:ascii="Arial" w:hAnsi="Arial" w:cs="Arial"/>
          <w:sz w:val="22"/>
        </w:rPr>
        <w:t xml:space="preserve">. </w:t>
      </w:r>
      <w:r w:rsidRPr="00D8229C">
        <w:rPr>
          <w:rFonts w:ascii="Arial" w:hAnsi="Arial" w:cs="Arial"/>
          <w:sz w:val="22"/>
        </w:rPr>
        <w:t>Spotřebitelská</w:t>
      </w:r>
      <w:r w:rsidR="007F6264" w:rsidRPr="00D8229C">
        <w:rPr>
          <w:rFonts w:ascii="Arial" w:hAnsi="Arial" w:cs="Arial"/>
          <w:sz w:val="22"/>
        </w:rPr>
        <w:t xml:space="preserve"> inflace v </w:t>
      </w:r>
      <w:r w:rsidRPr="00D8229C">
        <w:rPr>
          <w:rFonts w:ascii="Arial" w:hAnsi="Arial" w:cs="Arial"/>
          <w:sz w:val="22"/>
        </w:rPr>
        <w:t>závěru</w:t>
      </w:r>
      <w:r w:rsidR="007F6264" w:rsidRPr="00D8229C">
        <w:rPr>
          <w:rFonts w:ascii="Arial" w:hAnsi="Arial" w:cs="Arial"/>
          <w:sz w:val="22"/>
        </w:rPr>
        <w:t xml:space="preserve"> roku 2021 </w:t>
      </w:r>
      <w:r w:rsidRPr="00D8229C">
        <w:rPr>
          <w:rFonts w:ascii="Arial" w:hAnsi="Arial" w:cs="Arial"/>
          <w:sz w:val="22"/>
        </w:rPr>
        <w:t>přesahovala</w:t>
      </w:r>
      <w:r w:rsidR="007F6264" w:rsidRPr="00D8229C">
        <w:rPr>
          <w:rFonts w:ascii="Arial" w:hAnsi="Arial" w:cs="Arial"/>
          <w:sz w:val="22"/>
        </w:rPr>
        <w:t xml:space="preserve"> 6 % a v </w:t>
      </w:r>
      <w:r w:rsidRPr="00D8229C">
        <w:rPr>
          <w:rFonts w:ascii="Arial" w:hAnsi="Arial" w:cs="Arial"/>
          <w:sz w:val="22"/>
        </w:rPr>
        <w:t>průměru</w:t>
      </w:r>
      <w:r w:rsidR="007F6264" w:rsidRPr="00D8229C">
        <w:rPr>
          <w:rFonts w:ascii="Arial" w:hAnsi="Arial" w:cs="Arial"/>
          <w:sz w:val="22"/>
        </w:rPr>
        <w:t xml:space="preserve"> za celý rok </w:t>
      </w:r>
      <w:r w:rsidRPr="00D8229C">
        <w:rPr>
          <w:rFonts w:ascii="Arial" w:hAnsi="Arial" w:cs="Arial"/>
          <w:sz w:val="22"/>
        </w:rPr>
        <w:t>dosáhla</w:t>
      </w:r>
      <w:r w:rsidR="007F6264" w:rsidRPr="00D8229C">
        <w:rPr>
          <w:rFonts w:ascii="Arial" w:hAnsi="Arial" w:cs="Arial"/>
          <w:sz w:val="22"/>
        </w:rPr>
        <w:t xml:space="preserve"> 3,8 %. </w:t>
      </w:r>
      <w:r w:rsidR="007F6264" w:rsidRPr="00D8229C">
        <w:rPr>
          <w:rFonts w:ascii="Arial" w:hAnsi="Arial" w:cs="Arial"/>
          <w:i/>
          <w:iCs/>
          <w:sz w:val="22"/>
        </w:rPr>
        <w:t>„</w:t>
      </w:r>
      <w:r w:rsidR="006C56E1" w:rsidRPr="00D8229C">
        <w:rPr>
          <w:rFonts w:ascii="Arial" w:hAnsi="Arial" w:cs="Arial"/>
          <w:i/>
          <w:iCs/>
          <w:sz w:val="22"/>
        </w:rPr>
        <w:t>V důsledku geopolitické situace zvyšujeme prognózu letošní inflace na 10,7 % z původního odhadu 7,2 %. Jde o důsledek jak silných inflačních tlaků v tuzemské ekonomice, tak růstu</w:t>
      </w:r>
      <w:r w:rsidR="009C3F94" w:rsidRPr="00D8229C">
        <w:rPr>
          <w:rFonts w:ascii="Arial" w:hAnsi="Arial" w:cs="Arial"/>
          <w:i/>
          <w:iCs/>
          <w:sz w:val="22"/>
        </w:rPr>
        <w:t xml:space="preserve"> cen energetických a zemědělských komodit </w:t>
      </w:r>
      <w:r w:rsidR="006C56E1" w:rsidRPr="00D8229C">
        <w:rPr>
          <w:rFonts w:ascii="Arial" w:hAnsi="Arial" w:cs="Arial"/>
          <w:i/>
          <w:iCs/>
          <w:sz w:val="22"/>
        </w:rPr>
        <w:t>vyvolaných konfliktem na Ukrajině</w:t>
      </w:r>
      <w:r w:rsidR="007F6264" w:rsidRPr="00D8229C">
        <w:rPr>
          <w:rFonts w:ascii="Arial" w:hAnsi="Arial" w:cs="Arial"/>
          <w:i/>
          <w:iCs/>
          <w:sz w:val="22"/>
        </w:rPr>
        <w:t>,“</w:t>
      </w:r>
      <w:r w:rsidR="007F6264" w:rsidRPr="00D8229C">
        <w:rPr>
          <w:rFonts w:ascii="Arial" w:hAnsi="Arial" w:cs="Arial"/>
          <w:sz w:val="22"/>
        </w:rPr>
        <w:t xml:space="preserve"> říká vedoucí analytického oddělení C</w:t>
      </w:r>
      <w:r w:rsidR="00D86B39" w:rsidRPr="00D8229C">
        <w:rPr>
          <w:rFonts w:ascii="Arial" w:hAnsi="Arial" w:cs="Arial"/>
          <w:sz w:val="22"/>
        </w:rPr>
        <w:t>YRRUS</w:t>
      </w:r>
      <w:r w:rsidR="007F6264" w:rsidRPr="00D8229C">
        <w:rPr>
          <w:rFonts w:ascii="Arial" w:hAnsi="Arial" w:cs="Arial"/>
          <w:sz w:val="22"/>
        </w:rPr>
        <w:t xml:space="preserve"> Anna </w:t>
      </w:r>
      <w:r w:rsidRPr="00D8229C">
        <w:rPr>
          <w:rFonts w:ascii="Arial" w:hAnsi="Arial" w:cs="Arial"/>
          <w:sz w:val="22"/>
        </w:rPr>
        <w:t>P</w:t>
      </w:r>
      <w:r w:rsidR="007F6264" w:rsidRPr="00D8229C">
        <w:rPr>
          <w:rFonts w:ascii="Arial" w:hAnsi="Arial" w:cs="Arial"/>
          <w:sz w:val="22"/>
        </w:rPr>
        <w:t xml:space="preserve">íchová a dodává: </w:t>
      </w:r>
      <w:r w:rsidR="007F6264" w:rsidRPr="00D8229C">
        <w:rPr>
          <w:rFonts w:ascii="Arial" w:hAnsi="Arial" w:cs="Arial"/>
          <w:i/>
          <w:iCs/>
          <w:sz w:val="22"/>
        </w:rPr>
        <w:t xml:space="preserve">„České úrokové sazby se v první polovině roku 2022 dostanou na úroveň </w:t>
      </w:r>
      <w:r w:rsidR="006C56E1" w:rsidRPr="00D8229C">
        <w:rPr>
          <w:rFonts w:ascii="Arial" w:hAnsi="Arial" w:cs="Arial"/>
          <w:i/>
          <w:iCs/>
          <w:sz w:val="22"/>
        </w:rPr>
        <w:t>5,00</w:t>
      </w:r>
      <w:r w:rsidR="007F6264" w:rsidRPr="00D8229C">
        <w:rPr>
          <w:rFonts w:ascii="Arial" w:hAnsi="Arial" w:cs="Arial"/>
          <w:i/>
          <w:iCs/>
          <w:sz w:val="22"/>
        </w:rPr>
        <w:t xml:space="preserve"> %, což bude představovat vrchol aktuálního cyklu jejich zvyšování.“</w:t>
      </w:r>
    </w:p>
    <w:p w14:paraId="5754EEE9" w14:textId="77777777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</w:p>
    <w:p w14:paraId="705E5681" w14:textId="77777777" w:rsidR="007F6264" w:rsidRPr="00575991" w:rsidRDefault="007F6264" w:rsidP="00C16EFA">
      <w:pPr>
        <w:spacing w:after="0" w:line="240" w:lineRule="auto"/>
        <w:rPr>
          <w:rFonts w:ascii="Arial" w:hAnsi="Arial" w:cs="Arial"/>
          <w:b/>
          <w:bCs/>
          <w:i/>
          <w:iCs/>
          <w:sz w:val="22"/>
        </w:rPr>
      </w:pPr>
      <w:r w:rsidRPr="00575991">
        <w:rPr>
          <w:rFonts w:ascii="Arial" w:hAnsi="Arial" w:cs="Arial"/>
          <w:b/>
          <w:bCs/>
          <w:i/>
          <w:iCs/>
          <w:sz w:val="22"/>
        </w:rPr>
        <w:t>Na co se zaměřit: investiční strategie pro rok 2022</w:t>
      </w:r>
    </w:p>
    <w:p w14:paraId="1703223E" w14:textId="77777777" w:rsidR="00EA796B" w:rsidRDefault="00EA796B" w:rsidP="00C16EFA">
      <w:pPr>
        <w:spacing w:after="0" w:line="240" w:lineRule="auto"/>
        <w:rPr>
          <w:rFonts w:ascii="Arial" w:hAnsi="Arial" w:cs="Arial"/>
          <w:sz w:val="22"/>
        </w:rPr>
      </w:pPr>
    </w:p>
    <w:p w14:paraId="6E298859" w14:textId="7DB1547C" w:rsidR="007F6264" w:rsidRPr="00D86B39" w:rsidRDefault="007F6264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86B39">
        <w:rPr>
          <w:rFonts w:ascii="Arial" w:hAnsi="Arial" w:cs="Arial"/>
          <w:b/>
          <w:bCs/>
          <w:sz w:val="22"/>
        </w:rPr>
        <w:t>Cestovní ruch</w:t>
      </w:r>
    </w:p>
    <w:p w14:paraId="63E9F67D" w14:textId="6FB3B234" w:rsidR="00D86B39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9A29D7">
        <w:rPr>
          <w:rFonts w:ascii="Arial" w:hAnsi="Arial" w:cs="Arial"/>
          <w:sz w:val="22"/>
        </w:rPr>
        <w:t xml:space="preserve">V letošním roce doporučuje </w:t>
      </w:r>
      <w:r w:rsidR="00D86B39" w:rsidRPr="009A29D7">
        <w:rPr>
          <w:rFonts w:ascii="Arial" w:hAnsi="Arial" w:cs="Arial"/>
          <w:sz w:val="22"/>
        </w:rPr>
        <w:t xml:space="preserve">CYRRUS </w:t>
      </w:r>
      <w:r w:rsidRPr="009A29D7">
        <w:rPr>
          <w:rFonts w:ascii="Arial" w:hAnsi="Arial" w:cs="Arial"/>
          <w:sz w:val="22"/>
        </w:rPr>
        <w:t xml:space="preserve">zaměřit pozornost na odvětví cestovního ruchu. To v uplynulých letech kvůli pandemii </w:t>
      </w:r>
      <w:r w:rsidR="00571E21">
        <w:rPr>
          <w:rFonts w:ascii="Arial" w:hAnsi="Arial" w:cs="Arial"/>
          <w:sz w:val="22"/>
        </w:rPr>
        <w:t>c</w:t>
      </w:r>
      <w:r w:rsidRPr="009A29D7">
        <w:rPr>
          <w:rFonts w:ascii="Arial" w:hAnsi="Arial" w:cs="Arial"/>
          <w:sz w:val="22"/>
        </w:rPr>
        <w:t xml:space="preserve">ovidu-19 výrazně trpělo. </w:t>
      </w:r>
      <w:r w:rsidRPr="009A29D7">
        <w:rPr>
          <w:rFonts w:ascii="Arial" w:hAnsi="Arial" w:cs="Arial"/>
          <w:i/>
          <w:iCs/>
          <w:sz w:val="22"/>
        </w:rPr>
        <w:t xml:space="preserve">„Sektor cestovního ruchu bude z návratu k normálu profitovat. Přestože počty turistů vykázaly v posledních měsících loňského roku významné zvýšení, stále se nachází hluboce pod </w:t>
      </w:r>
      <w:proofErr w:type="spellStart"/>
      <w:r w:rsidRPr="009A29D7">
        <w:rPr>
          <w:rFonts w:ascii="Arial" w:hAnsi="Arial" w:cs="Arial"/>
          <w:i/>
          <w:iCs/>
          <w:sz w:val="22"/>
        </w:rPr>
        <w:t>předpandemickými</w:t>
      </w:r>
      <w:proofErr w:type="spellEnd"/>
      <w:r w:rsidRPr="009A29D7">
        <w:rPr>
          <w:rFonts w:ascii="Arial" w:hAnsi="Arial" w:cs="Arial"/>
          <w:i/>
          <w:iCs/>
          <w:sz w:val="22"/>
        </w:rPr>
        <w:t xml:space="preserve"> úrovněmi,“ </w:t>
      </w:r>
      <w:r w:rsidRPr="009A29D7">
        <w:rPr>
          <w:rFonts w:ascii="Arial" w:hAnsi="Arial" w:cs="Arial"/>
          <w:sz w:val="22"/>
        </w:rPr>
        <w:t>uvádí Anna Píchová.</w:t>
      </w:r>
      <w:r w:rsidRPr="007F6264">
        <w:rPr>
          <w:rFonts w:ascii="Arial" w:hAnsi="Arial" w:cs="Arial"/>
          <w:sz w:val="22"/>
        </w:rPr>
        <w:t xml:space="preserve"> </w:t>
      </w:r>
    </w:p>
    <w:p w14:paraId="6FAA2A93" w14:textId="77777777" w:rsidR="0047072B" w:rsidRDefault="0047072B" w:rsidP="00C16EFA">
      <w:pPr>
        <w:spacing w:after="0" w:line="240" w:lineRule="auto"/>
        <w:rPr>
          <w:rFonts w:ascii="Arial" w:hAnsi="Arial" w:cs="Arial"/>
          <w:sz w:val="22"/>
        </w:rPr>
      </w:pPr>
    </w:p>
    <w:p w14:paraId="4A60B757" w14:textId="7EC7AAFF" w:rsidR="007F6264" w:rsidRDefault="00D86B39" w:rsidP="00C16EFA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n</w:t>
      </w:r>
      <w:r w:rsidR="007F6264" w:rsidRPr="007F6264">
        <w:rPr>
          <w:rFonts w:ascii="Arial" w:hAnsi="Arial" w:cs="Arial"/>
          <w:sz w:val="22"/>
        </w:rPr>
        <w:t>a které firmy z tohoto segmentu</w:t>
      </w:r>
      <w:r>
        <w:rPr>
          <w:rFonts w:ascii="Arial" w:hAnsi="Arial" w:cs="Arial"/>
          <w:sz w:val="22"/>
        </w:rPr>
        <w:t xml:space="preserve"> tedy</w:t>
      </w:r>
      <w:r w:rsidR="007F6264" w:rsidRPr="007F6264">
        <w:rPr>
          <w:rFonts w:ascii="Arial" w:hAnsi="Arial" w:cs="Arial"/>
          <w:sz w:val="22"/>
        </w:rPr>
        <w:t xml:space="preserve"> vsadit? </w:t>
      </w:r>
      <w:r w:rsidR="007F6264" w:rsidRPr="00D86B39">
        <w:rPr>
          <w:rFonts w:ascii="Arial" w:hAnsi="Arial" w:cs="Arial"/>
          <w:i/>
          <w:iCs/>
          <w:sz w:val="22"/>
        </w:rPr>
        <w:t>„V tomto odvětví vnímáme jako atraktivní zejména dvě</w:t>
      </w:r>
      <w:r w:rsidR="0047072B">
        <w:rPr>
          <w:rFonts w:ascii="Arial" w:hAnsi="Arial" w:cs="Arial"/>
          <w:i/>
          <w:iCs/>
          <w:sz w:val="22"/>
        </w:rPr>
        <w:t xml:space="preserve"> společnosti</w:t>
      </w:r>
      <w:r w:rsidR="007F6264" w:rsidRPr="00D86B39">
        <w:rPr>
          <w:rFonts w:ascii="Arial" w:hAnsi="Arial" w:cs="Arial"/>
          <w:i/>
          <w:iCs/>
          <w:sz w:val="22"/>
        </w:rPr>
        <w:t xml:space="preserve">. První představuje provozovatel zábavních parků </w:t>
      </w:r>
      <w:proofErr w:type="spellStart"/>
      <w:r w:rsidR="007F6264" w:rsidRPr="00D86B39">
        <w:rPr>
          <w:rFonts w:ascii="Arial" w:hAnsi="Arial" w:cs="Arial"/>
          <w:b/>
          <w:bCs/>
          <w:i/>
          <w:iCs/>
          <w:sz w:val="22"/>
        </w:rPr>
        <w:t>Walt</w:t>
      </w:r>
      <w:proofErr w:type="spellEnd"/>
      <w:r w:rsidR="007F6264" w:rsidRPr="00D86B39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="007F6264" w:rsidRPr="00D86B39">
        <w:rPr>
          <w:rFonts w:ascii="Arial" w:hAnsi="Arial" w:cs="Arial"/>
          <w:b/>
          <w:bCs/>
          <w:i/>
          <w:iCs/>
          <w:sz w:val="22"/>
        </w:rPr>
        <w:t>Disney</w:t>
      </w:r>
      <w:proofErr w:type="spellEnd"/>
      <w:r w:rsidR="007F6264" w:rsidRPr="00D86B39">
        <w:rPr>
          <w:rFonts w:ascii="Arial" w:hAnsi="Arial" w:cs="Arial"/>
          <w:i/>
          <w:iCs/>
          <w:sz w:val="22"/>
        </w:rPr>
        <w:t xml:space="preserve">. </w:t>
      </w:r>
      <w:r w:rsidRPr="00D86B39">
        <w:rPr>
          <w:rFonts w:ascii="Arial" w:hAnsi="Arial" w:cs="Arial"/>
          <w:i/>
          <w:iCs/>
          <w:sz w:val="22"/>
        </w:rPr>
        <w:t>Zde</w:t>
      </w:r>
      <w:r w:rsidR="007F6264" w:rsidRPr="00D86B39">
        <w:rPr>
          <w:rFonts w:ascii="Arial" w:hAnsi="Arial" w:cs="Arial"/>
          <w:i/>
          <w:iCs/>
          <w:sz w:val="22"/>
        </w:rPr>
        <w:t xml:space="preserve"> lze pro letošek očekávat značný nárůst čistého zisku. Zároveň je firma aktivní v oblasti </w:t>
      </w:r>
      <w:proofErr w:type="spellStart"/>
      <w:r w:rsidR="007F6264" w:rsidRPr="00D86B39">
        <w:rPr>
          <w:rFonts w:ascii="Arial" w:hAnsi="Arial" w:cs="Arial"/>
          <w:i/>
          <w:iCs/>
          <w:sz w:val="22"/>
        </w:rPr>
        <w:t>streamingu</w:t>
      </w:r>
      <w:proofErr w:type="spellEnd"/>
      <w:r w:rsidR="007F6264" w:rsidRPr="00D86B39">
        <w:rPr>
          <w:rFonts w:ascii="Arial" w:hAnsi="Arial" w:cs="Arial"/>
          <w:i/>
          <w:iCs/>
          <w:sz w:val="22"/>
        </w:rPr>
        <w:t xml:space="preserve">, kde generuje výrazné přírůstky </w:t>
      </w:r>
      <w:r w:rsidR="007F6264" w:rsidRPr="00D86B39">
        <w:rPr>
          <w:rFonts w:ascii="Arial" w:hAnsi="Arial" w:cs="Arial"/>
          <w:i/>
          <w:iCs/>
          <w:sz w:val="22"/>
        </w:rPr>
        <w:lastRenderedPageBreak/>
        <w:t>nových uživatelů,“</w:t>
      </w:r>
      <w:r w:rsidR="007F6264" w:rsidRPr="007F6264">
        <w:rPr>
          <w:rFonts w:ascii="Arial" w:hAnsi="Arial" w:cs="Arial"/>
          <w:sz w:val="22"/>
        </w:rPr>
        <w:t xml:space="preserve"> vysvětluje Tomáš Pfeiler, portfolio manažer společnosti CYRRUS. </w:t>
      </w:r>
      <w:r>
        <w:rPr>
          <w:rFonts w:ascii="Arial" w:hAnsi="Arial" w:cs="Arial"/>
          <w:sz w:val="22"/>
        </w:rPr>
        <w:t>D</w:t>
      </w:r>
      <w:r w:rsidR="007F6264" w:rsidRPr="007F6264">
        <w:rPr>
          <w:rFonts w:ascii="Arial" w:hAnsi="Arial" w:cs="Arial"/>
          <w:sz w:val="22"/>
        </w:rPr>
        <w:t>alší zajímavou</w:t>
      </w:r>
      <w:r w:rsidR="00A82C63">
        <w:rPr>
          <w:rFonts w:ascii="Arial" w:hAnsi="Arial" w:cs="Arial"/>
          <w:sz w:val="22"/>
        </w:rPr>
        <w:t xml:space="preserve"> </w:t>
      </w:r>
      <w:r w:rsidR="007F6264" w:rsidRPr="007F6264">
        <w:rPr>
          <w:rFonts w:ascii="Arial" w:hAnsi="Arial" w:cs="Arial"/>
          <w:sz w:val="22"/>
        </w:rPr>
        <w:t xml:space="preserve">příležitost vidí </w:t>
      </w:r>
      <w:r>
        <w:rPr>
          <w:rFonts w:ascii="Arial" w:hAnsi="Arial" w:cs="Arial"/>
          <w:sz w:val="22"/>
        </w:rPr>
        <w:t xml:space="preserve">v </w:t>
      </w:r>
      <w:r w:rsidR="007F6264" w:rsidRPr="007F6264">
        <w:rPr>
          <w:rFonts w:ascii="Arial" w:hAnsi="Arial" w:cs="Arial"/>
          <w:sz w:val="22"/>
        </w:rPr>
        <w:t>akc</w:t>
      </w:r>
      <w:r>
        <w:rPr>
          <w:rFonts w:ascii="Arial" w:hAnsi="Arial" w:cs="Arial"/>
          <w:sz w:val="22"/>
        </w:rPr>
        <w:t>ích</w:t>
      </w:r>
      <w:r w:rsidR="007F6264" w:rsidRPr="007F6264">
        <w:rPr>
          <w:rFonts w:ascii="Arial" w:hAnsi="Arial" w:cs="Arial"/>
          <w:sz w:val="22"/>
        </w:rPr>
        <w:t xml:space="preserve"> společnosti </w:t>
      </w:r>
      <w:r w:rsidR="007F6264" w:rsidRPr="00D86B39">
        <w:rPr>
          <w:rFonts w:ascii="Arial" w:hAnsi="Arial" w:cs="Arial"/>
          <w:b/>
          <w:bCs/>
          <w:sz w:val="22"/>
        </w:rPr>
        <w:t>Booking</w:t>
      </w:r>
      <w:r w:rsidR="007F6264" w:rsidRPr="007F6264">
        <w:rPr>
          <w:rFonts w:ascii="Arial" w:hAnsi="Arial" w:cs="Arial"/>
          <w:sz w:val="22"/>
        </w:rPr>
        <w:t xml:space="preserve">. </w:t>
      </w:r>
      <w:r w:rsidR="007F6264" w:rsidRPr="00D86B39">
        <w:rPr>
          <w:rFonts w:ascii="Arial" w:hAnsi="Arial" w:cs="Arial"/>
          <w:i/>
          <w:iCs/>
          <w:sz w:val="22"/>
        </w:rPr>
        <w:t xml:space="preserve">„Tato firma je z pohledu valuace výrazně atraktivnější než například konkurenční </w:t>
      </w:r>
      <w:proofErr w:type="spellStart"/>
      <w:r w:rsidR="007F6264" w:rsidRPr="00D86B39">
        <w:rPr>
          <w:rFonts w:ascii="Arial" w:hAnsi="Arial" w:cs="Arial"/>
          <w:i/>
          <w:iCs/>
          <w:sz w:val="22"/>
        </w:rPr>
        <w:t>AirBnb</w:t>
      </w:r>
      <w:proofErr w:type="spellEnd"/>
      <w:r w:rsidR="007F6264" w:rsidRPr="00D86B39">
        <w:rPr>
          <w:rFonts w:ascii="Arial" w:hAnsi="Arial" w:cs="Arial"/>
          <w:i/>
          <w:iCs/>
          <w:sz w:val="22"/>
        </w:rPr>
        <w:t xml:space="preserve">,“ </w:t>
      </w:r>
      <w:r w:rsidR="007F6264" w:rsidRPr="007F6264">
        <w:rPr>
          <w:rFonts w:ascii="Arial" w:hAnsi="Arial" w:cs="Arial"/>
          <w:sz w:val="22"/>
        </w:rPr>
        <w:t xml:space="preserve">dodává </w:t>
      </w:r>
      <w:proofErr w:type="spellStart"/>
      <w:r w:rsidR="007F6264" w:rsidRPr="007F6264">
        <w:rPr>
          <w:rFonts w:ascii="Arial" w:hAnsi="Arial" w:cs="Arial"/>
          <w:sz w:val="22"/>
        </w:rPr>
        <w:t>Pfeiler</w:t>
      </w:r>
      <w:proofErr w:type="spellEnd"/>
      <w:r w:rsidR="007F6264" w:rsidRPr="007F6264">
        <w:rPr>
          <w:rFonts w:ascii="Arial" w:hAnsi="Arial" w:cs="Arial"/>
          <w:sz w:val="22"/>
        </w:rPr>
        <w:t>.</w:t>
      </w:r>
    </w:p>
    <w:p w14:paraId="0B12272C" w14:textId="77777777" w:rsidR="00D86B39" w:rsidRPr="007F6264" w:rsidRDefault="00D86B39" w:rsidP="00C16EFA">
      <w:pPr>
        <w:spacing w:after="0" w:line="240" w:lineRule="auto"/>
        <w:rPr>
          <w:rFonts w:ascii="Arial" w:hAnsi="Arial" w:cs="Arial"/>
          <w:sz w:val="22"/>
        </w:rPr>
      </w:pPr>
    </w:p>
    <w:p w14:paraId="7B666BEE" w14:textId="4B62B0DF" w:rsidR="007F6264" w:rsidRPr="00D86B39" w:rsidRDefault="007F6264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86B39">
        <w:rPr>
          <w:rFonts w:ascii="Arial" w:hAnsi="Arial" w:cs="Arial"/>
          <w:b/>
          <w:bCs/>
          <w:sz w:val="22"/>
        </w:rPr>
        <w:t>Spotřebitelské služby</w:t>
      </w:r>
    </w:p>
    <w:p w14:paraId="234775CF" w14:textId="7076AFD1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 xml:space="preserve">Společnost CYRRUS rovněž vnímá jako perspektivní odvětví spotřebního zboží a služeb. </w:t>
      </w:r>
      <w:r w:rsidRPr="00D86B39">
        <w:rPr>
          <w:rFonts w:ascii="Arial" w:hAnsi="Arial" w:cs="Arial"/>
          <w:i/>
          <w:iCs/>
          <w:sz w:val="22"/>
        </w:rPr>
        <w:t xml:space="preserve">„Návrat k </w:t>
      </w:r>
      <w:proofErr w:type="spellStart"/>
      <w:r w:rsidRPr="00D86B39">
        <w:rPr>
          <w:rFonts w:ascii="Arial" w:hAnsi="Arial" w:cs="Arial"/>
          <w:i/>
          <w:iCs/>
          <w:sz w:val="22"/>
        </w:rPr>
        <w:t>předcovidovému</w:t>
      </w:r>
      <w:proofErr w:type="spellEnd"/>
      <w:r w:rsidRPr="00D86B39">
        <w:rPr>
          <w:rFonts w:ascii="Arial" w:hAnsi="Arial" w:cs="Arial"/>
          <w:i/>
          <w:iCs/>
          <w:sz w:val="22"/>
        </w:rPr>
        <w:t xml:space="preserve"> normálu povede k oživení kontaktních sektorů ekonomiky, kam patří například restaurace</w:t>
      </w:r>
      <w:r w:rsidR="00C16EFA">
        <w:rPr>
          <w:rFonts w:ascii="Arial" w:hAnsi="Arial" w:cs="Arial"/>
          <w:i/>
          <w:iCs/>
          <w:sz w:val="22"/>
        </w:rPr>
        <w:t xml:space="preserve">,“ </w:t>
      </w:r>
      <w:r w:rsidRPr="007F6264">
        <w:rPr>
          <w:rFonts w:ascii="Arial" w:hAnsi="Arial" w:cs="Arial"/>
          <w:sz w:val="22"/>
        </w:rPr>
        <w:t xml:space="preserve">uvádí </w:t>
      </w:r>
      <w:r w:rsidR="00D86B39">
        <w:rPr>
          <w:rFonts w:ascii="Arial" w:hAnsi="Arial" w:cs="Arial"/>
          <w:sz w:val="22"/>
        </w:rPr>
        <w:t xml:space="preserve">Tomáš </w:t>
      </w:r>
      <w:r w:rsidRPr="007F6264">
        <w:rPr>
          <w:rFonts w:ascii="Arial" w:hAnsi="Arial" w:cs="Arial"/>
          <w:sz w:val="22"/>
        </w:rPr>
        <w:t xml:space="preserve">Pfeiler. </w:t>
      </w:r>
      <w:r w:rsidRPr="00D86B39">
        <w:rPr>
          <w:rFonts w:ascii="Arial" w:hAnsi="Arial" w:cs="Arial"/>
          <w:i/>
          <w:iCs/>
          <w:sz w:val="22"/>
        </w:rPr>
        <w:t>„</w:t>
      </w:r>
      <w:r w:rsidR="00571E21">
        <w:rPr>
          <w:rFonts w:ascii="Arial" w:hAnsi="Arial" w:cs="Arial"/>
          <w:i/>
          <w:iCs/>
          <w:sz w:val="22"/>
        </w:rPr>
        <w:t>Z</w:t>
      </w:r>
      <w:r w:rsidRPr="00D86B39">
        <w:rPr>
          <w:rFonts w:ascii="Arial" w:hAnsi="Arial" w:cs="Arial"/>
          <w:i/>
          <w:iCs/>
          <w:sz w:val="22"/>
        </w:rPr>
        <w:t>ajímavou příležitost v</w:t>
      </w:r>
      <w:r w:rsidR="00571E21">
        <w:rPr>
          <w:rFonts w:ascii="Arial" w:hAnsi="Arial" w:cs="Arial"/>
          <w:i/>
          <w:iCs/>
          <w:sz w:val="22"/>
        </w:rPr>
        <w:t>idíme v</w:t>
      </w:r>
      <w:r w:rsidRPr="00D86B39">
        <w:rPr>
          <w:rFonts w:ascii="Arial" w:hAnsi="Arial" w:cs="Arial"/>
          <w:i/>
          <w:iCs/>
          <w:sz w:val="22"/>
        </w:rPr>
        <w:t xml:space="preserve"> akci</w:t>
      </w:r>
      <w:r w:rsidR="00571E21">
        <w:rPr>
          <w:rFonts w:ascii="Arial" w:hAnsi="Arial" w:cs="Arial"/>
          <w:i/>
          <w:iCs/>
          <w:sz w:val="22"/>
        </w:rPr>
        <w:t>ích</w:t>
      </w:r>
      <w:r w:rsidRPr="00D86B39">
        <w:rPr>
          <w:rFonts w:ascii="Arial" w:hAnsi="Arial" w:cs="Arial"/>
          <w:i/>
          <w:iCs/>
          <w:sz w:val="22"/>
        </w:rPr>
        <w:t xml:space="preserve"> lídra luxusního segmentu, společnosti </w:t>
      </w:r>
      <w:r w:rsidRPr="00D86B39">
        <w:rPr>
          <w:rFonts w:ascii="Arial" w:hAnsi="Arial" w:cs="Arial"/>
          <w:b/>
          <w:bCs/>
          <w:i/>
          <w:iCs/>
          <w:sz w:val="22"/>
        </w:rPr>
        <w:t xml:space="preserve">Louis </w:t>
      </w:r>
      <w:proofErr w:type="spellStart"/>
      <w:r w:rsidRPr="00D86B39">
        <w:rPr>
          <w:rFonts w:ascii="Arial" w:hAnsi="Arial" w:cs="Arial"/>
          <w:b/>
          <w:bCs/>
          <w:i/>
          <w:iCs/>
          <w:sz w:val="22"/>
        </w:rPr>
        <w:t>Vuitton</w:t>
      </w:r>
      <w:proofErr w:type="spellEnd"/>
      <w:r w:rsidRPr="00D86B39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Pr="00D86B39">
        <w:rPr>
          <w:rFonts w:ascii="Arial" w:hAnsi="Arial" w:cs="Arial"/>
          <w:b/>
          <w:bCs/>
          <w:i/>
          <w:iCs/>
          <w:sz w:val="22"/>
        </w:rPr>
        <w:t>Moët</w:t>
      </w:r>
      <w:proofErr w:type="spellEnd"/>
      <w:r w:rsidRPr="00D86B39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Pr="00D86B39">
        <w:rPr>
          <w:rFonts w:ascii="Arial" w:hAnsi="Arial" w:cs="Arial"/>
          <w:b/>
          <w:bCs/>
          <w:i/>
          <w:iCs/>
          <w:sz w:val="22"/>
        </w:rPr>
        <w:t>Hennessy</w:t>
      </w:r>
      <w:proofErr w:type="spellEnd"/>
      <w:r w:rsidRPr="00D86B39">
        <w:rPr>
          <w:rFonts w:ascii="Arial" w:hAnsi="Arial" w:cs="Arial"/>
          <w:i/>
          <w:iCs/>
          <w:sz w:val="22"/>
        </w:rPr>
        <w:t xml:space="preserve">. </w:t>
      </w:r>
      <w:r w:rsidR="00D86B39">
        <w:rPr>
          <w:rFonts w:ascii="Arial" w:hAnsi="Arial" w:cs="Arial"/>
          <w:i/>
          <w:iCs/>
          <w:sz w:val="22"/>
        </w:rPr>
        <w:t>Tato f</w:t>
      </w:r>
      <w:r w:rsidRPr="00D86B39">
        <w:rPr>
          <w:rFonts w:ascii="Arial" w:hAnsi="Arial" w:cs="Arial"/>
          <w:i/>
          <w:iCs/>
          <w:sz w:val="22"/>
        </w:rPr>
        <w:t>irma vygenerovala v závěrečném kvartálu loňského roku tržby o pět procentních bodů nad očekáváním,“</w:t>
      </w:r>
      <w:r w:rsidRPr="007F6264">
        <w:rPr>
          <w:rFonts w:ascii="Arial" w:hAnsi="Arial" w:cs="Arial"/>
          <w:sz w:val="22"/>
        </w:rPr>
        <w:t xml:space="preserve"> říká </w:t>
      </w:r>
      <w:r w:rsidR="00D86B39">
        <w:rPr>
          <w:rFonts w:ascii="Arial" w:hAnsi="Arial" w:cs="Arial"/>
          <w:sz w:val="22"/>
        </w:rPr>
        <w:t xml:space="preserve">Tomáš </w:t>
      </w:r>
      <w:r w:rsidRPr="007F6264">
        <w:rPr>
          <w:rFonts w:ascii="Arial" w:hAnsi="Arial" w:cs="Arial"/>
          <w:sz w:val="22"/>
        </w:rPr>
        <w:t>Pfeiler.</w:t>
      </w:r>
    </w:p>
    <w:p w14:paraId="6F2DD7FC" w14:textId="77777777" w:rsidR="00D86B39" w:rsidRDefault="00D86B39" w:rsidP="00C16EFA">
      <w:pPr>
        <w:spacing w:after="0" w:line="240" w:lineRule="auto"/>
        <w:rPr>
          <w:rFonts w:ascii="Arial" w:hAnsi="Arial" w:cs="Arial"/>
          <w:sz w:val="22"/>
        </w:rPr>
      </w:pPr>
    </w:p>
    <w:p w14:paraId="077F52DB" w14:textId="0D7C2897" w:rsidR="007F6264" w:rsidRPr="00D86B39" w:rsidRDefault="007F6264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D86B39">
        <w:rPr>
          <w:rFonts w:ascii="Arial" w:hAnsi="Arial" w:cs="Arial"/>
          <w:b/>
          <w:bCs/>
          <w:sz w:val="22"/>
        </w:rPr>
        <w:t>Technologie</w:t>
      </w:r>
    </w:p>
    <w:p w14:paraId="3A9A4811" w14:textId="6E371EC4" w:rsid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>Podle analytického oddělení CYRRUS budou mezi investory hrát prim stabilní společnosti s jasně definovanou konkurenční výhodou, které dlouhodobě vykazují zisk a které těží z trendu digitalizace.</w:t>
      </w:r>
      <w:r w:rsidR="00575991">
        <w:rPr>
          <w:rFonts w:ascii="Arial" w:hAnsi="Arial" w:cs="Arial"/>
          <w:sz w:val="22"/>
        </w:rPr>
        <w:t xml:space="preserve"> </w:t>
      </w:r>
      <w:r w:rsidRPr="00575991">
        <w:rPr>
          <w:rFonts w:ascii="Arial" w:hAnsi="Arial" w:cs="Arial"/>
          <w:i/>
          <w:iCs/>
          <w:sz w:val="22"/>
        </w:rPr>
        <w:t>„Zajímavou příležitost stále vidíme mezi velkými technologickými firmami, zvláště pak u společnost</w:t>
      </w:r>
      <w:r w:rsidR="00575991" w:rsidRPr="00575991">
        <w:rPr>
          <w:rFonts w:ascii="Arial" w:hAnsi="Arial" w:cs="Arial"/>
          <w:i/>
          <w:iCs/>
          <w:sz w:val="22"/>
        </w:rPr>
        <w:t>í</w:t>
      </w:r>
      <w:r w:rsidRPr="00575991">
        <w:rPr>
          <w:rFonts w:ascii="Arial" w:hAnsi="Arial" w:cs="Arial"/>
          <w:i/>
          <w:iCs/>
          <w:sz w:val="22"/>
        </w:rPr>
        <w:t xml:space="preserve"> </w:t>
      </w:r>
      <w:r w:rsidRPr="00571E21">
        <w:rPr>
          <w:rFonts w:ascii="Arial" w:hAnsi="Arial" w:cs="Arial"/>
          <w:b/>
          <w:bCs/>
          <w:i/>
          <w:iCs/>
          <w:sz w:val="22"/>
        </w:rPr>
        <w:t xml:space="preserve">Microsoft </w:t>
      </w:r>
      <w:r w:rsidRPr="00571E21">
        <w:rPr>
          <w:rFonts w:ascii="Arial" w:hAnsi="Arial" w:cs="Arial"/>
          <w:i/>
          <w:iCs/>
          <w:sz w:val="22"/>
        </w:rPr>
        <w:t>a</w:t>
      </w:r>
      <w:r w:rsidRPr="00571E21">
        <w:rPr>
          <w:rFonts w:ascii="Arial" w:hAnsi="Arial" w:cs="Arial"/>
          <w:b/>
          <w:bCs/>
          <w:i/>
          <w:iCs/>
          <w:sz w:val="22"/>
        </w:rPr>
        <w:t xml:space="preserve"> </w:t>
      </w:r>
      <w:proofErr w:type="spellStart"/>
      <w:r w:rsidRPr="00571E21">
        <w:rPr>
          <w:rFonts w:ascii="Arial" w:hAnsi="Arial" w:cs="Arial"/>
          <w:b/>
          <w:bCs/>
          <w:i/>
          <w:iCs/>
          <w:sz w:val="22"/>
        </w:rPr>
        <w:t>Alphabet</w:t>
      </w:r>
      <w:proofErr w:type="spellEnd"/>
      <w:r w:rsidRPr="00575991">
        <w:rPr>
          <w:rFonts w:ascii="Arial" w:hAnsi="Arial" w:cs="Arial"/>
          <w:i/>
          <w:iCs/>
          <w:sz w:val="22"/>
        </w:rPr>
        <w:t>,“</w:t>
      </w:r>
      <w:r w:rsidRPr="007F6264">
        <w:rPr>
          <w:rFonts w:ascii="Arial" w:hAnsi="Arial" w:cs="Arial"/>
          <w:sz w:val="22"/>
        </w:rPr>
        <w:t xml:space="preserve"> říká Anna Píchová. Zapomenout by podle ní investoři neměli ani na firmy vyrábějící čipy, jako jsou </w:t>
      </w:r>
      <w:proofErr w:type="spellStart"/>
      <w:r w:rsidRPr="00571E21">
        <w:rPr>
          <w:rFonts w:ascii="Arial" w:hAnsi="Arial" w:cs="Arial"/>
          <w:b/>
          <w:bCs/>
          <w:sz w:val="22"/>
        </w:rPr>
        <w:t>Marvell</w:t>
      </w:r>
      <w:proofErr w:type="spellEnd"/>
      <w:r w:rsidRPr="00571E21">
        <w:rPr>
          <w:rFonts w:ascii="Arial" w:hAnsi="Arial" w:cs="Arial"/>
          <w:b/>
          <w:bCs/>
          <w:sz w:val="22"/>
        </w:rPr>
        <w:t xml:space="preserve"> Technology, AMD, </w:t>
      </w:r>
      <w:proofErr w:type="spellStart"/>
      <w:r w:rsidRPr="00571E21">
        <w:rPr>
          <w:rFonts w:ascii="Arial" w:hAnsi="Arial" w:cs="Arial"/>
          <w:b/>
          <w:bCs/>
          <w:sz w:val="22"/>
        </w:rPr>
        <w:t>NVidia</w:t>
      </w:r>
      <w:proofErr w:type="spellEnd"/>
      <w:r w:rsidRPr="007F6264">
        <w:rPr>
          <w:rFonts w:ascii="Arial" w:hAnsi="Arial" w:cs="Arial"/>
          <w:sz w:val="22"/>
        </w:rPr>
        <w:t xml:space="preserve"> a další.</w:t>
      </w:r>
    </w:p>
    <w:p w14:paraId="53A4269C" w14:textId="77777777" w:rsidR="00575991" w:rsidRPr="007F6264" w:rsidRDefault="00575991" w:rsidP="00C16EFA">
      <w:pPr>
        <w:spacing w:after="0" w:line="240" w:lineRule="auto"/>
        <w:rPr>
          <w:rFonts w:ascii="Arial" w:hAnsi="Arial" w:cs="Arial"/>
          <w:sz w:val="22"/>
        </w:rPr>
      </w:pPr>
    </w:p>
    <w:p w14:paraId="4BCB89F8" w14:textId="77777777" w:rsidR="007F6264" w:rsidRPr="00575991" w:rsidRDefault="007F6264" w:rsidP="00C16EFA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575991">
        <w:rPr>
          <w:rFonts w:ascii="Arial" w:hAnsi="Arial" w:cs="Arial"/>
          <w:b/>
          <w:bCs/>
          <w:sz w:val="22"/>
        </w:rPr>
        <w:t>Krypto: rok zúčtování</w:t>
      </w:r>
    </w:p>
    <w:p w14:paraId="5A78C81B" w14:textId="07400084" w:rsidR="007F6264" w:rsidRPr="007F6264" w:rsidRDefault="007F6264" w:rsidP="00C16EFA">
      <w:pPr>
        <w:spacing w:after="0" w:line="240" w:lineRule="auto"/>
        <w:rPr>
          <w:rFonts w:ascii="Arial" w:hAnsi="Arial" w:cs="Arial"/>
          <w:sz w:val="22"/>
        </w:rPr>
      </w:pPr>
      <w:r w:rsidRPr="007F6264">
        <w:rPr>
          <w:rFonts w:ascii="Arial" w:hAnsi="Arial" w:cs="Arial"/>
          <w:sz w:val="22"/>
        </w:rPr>
        <w:t xml:space="preserve">Loňský rok se u kryptoměn nesl ve znamení euforie. Na podzim se cena </w:t>
      </w:r>
      <w:proofErr w:type="spellStart"/>
      <w:r w:rsidRPr="007F6264">
        <w:rPr>
          <w:rFonts w:ascii="Arial" w:hAnsi="Arial" w:cs="Arial"/>
          <w:sz w:val="22"/>
        </w:rPr>
        <w:t>bitcoinu</w:t>
      </w:r>
      <w:proofErr w:type="spellEnd"/>
      <w:r w:rsidRPr="007F6264">
        <w:rPr>
          <w:rFonts w:ascii="Arial" w:hAnsi="Arial" w:cs="Arial"/>
          <w:sz w:val="22"/>
        </w:rPr>
        <w:t>, nejznámější digitální mince, vyšplhala téměř k 70</w:t>
      </w:r>
      <w:r w:rsidR="00A26181">
        <w:rPr>
          <w:rFonts w:ascii="Arial" w:hAnsi="Arial" w:cs="Arial"/>
          <w:sz w:val="22"/>
        </w:rPr>
        <w:t> </w:t>
      </w:r>
      <w:r w:rsidRPr="007F6264">
        <w:rPr>
          <w:rFonts w:ascii="Arial" w:hAnsi="Arial" w:cs="Arial"/>
          <w:sz w:val="22"/>
        </w:rPr>
        <w:t>000</w:t>
      </w:r>
      <w:r w:rsidR="00A26181">
        <w:rPr>
          <w:rFonts w:ascii="Arial" w:hAnsi="Arial" w:cs="Arial"/>
          <w:sz w:val="22"/>
        </w:rPr>
        <w:t xml:space="preserve"> amerických dolarů</w:t>
      </w:r>
      <w:r w:rsidRPr="007F6264">
        <w:rPr>
          <w:rFonts w:ascii="Arial" w:hAnsi="Arial" w:cs="Arial"/>
          <w:sz w:val="22"/>
        </w:rPr>
        <w:t xml:space="preserve">. Z těchto maxim však </w:t>
      </w:r>
      <w:proofErr w:type="spellStart"/>
      <w:r w:rsidRPr="007F6264">
        <w:rPr>
          <w:rFonts w:ascii="Arial" w:hAnsi="Arial" w:cs="Arial"/>
          <w:sz w:val="22"/>
        </w:rPr>
        <w:t>bitcoin</w:t>
      </w:r>
      <w:proofErr w:type="spellEnd"/>
      <w:r w:rsidRPr="007F6264">
        <w:rPr>
          <w:rFonts w:ascii="Arial" w:hAnsi="Arial" w:cs="Arial"/>
          <w:sz w:val="22"/>
        </w:rPr>
        <w:t xml:space="preserve"> rychle sestoupil zejména kvůli obratu v měnové politice centrálních bank. </w:t>
      </w:r>
      <w:r w:rsidRPr="00A26181">
        <w:rPr>
          <w:rFonts w:ascii="Arial" w:hAnsi="Arial" w:cs="Arial"/>
          <w:i/>
          <w:iCs/>
          <w:sz w:val="22"/>
        </w:rPr>
        <w:t>„Přestože zastánci krypta tuto skutečnost neradi slyší, byla to právě extrémně uvolněná politika centrálních bank, která vedla k mohutnému investorskému zájmu o tuto třídu aktiv. Když centrální banky začínají s utahováním měnových podmínek, nečeká kryptoměny dobrý rok,“</w:t>
      </w:r>
      <w:r w:rsidRPr="007F6264">
        <w:rPr>
          <w:rFonts w:ascii="Arial" w:hAnsi="Arial" w:cs="Arial"/>
          <w:sz w:val="22"/>
        </w:rPr>
        <w:t xml:space="preserve"> říká </w:t>
      </w:r>
      <w:r w:rsidR="00A26181">
        <w:rPr>
          <w:rFonts w:ascii="Arial" w:hAnsi="Arial" w:cs="Arial"/>
          <w:sz w:val="22"/>
        </w:rPr>
        <w:t>Vít</w:t>
      </w:r>
      <w:r w:rsidRPr="007F6264">
        <w:rPr>
          <w:rFonts w:ascii="Arial" w:hAnsi="Arial" w:cs="Arial"/>
          <w:sz w:val="22"/>
        </w:rPr>
        <w:t xml:space="preserve"> Hradil a dodává: </w:t>
      </w:r>
      <w:r w:rsidRPr="00A26181">
        <w:rPr>
          <w:rFonts w:ascii="Arial" w:hAnsi="Arial" w:cs="Arial"/>
          <w:i/>
          <w:iCs/>
          <w:sz w:val="22"/>
        </w:rPr>
        <w:t xml:space="preserve">„Příležitosti v </w:t>
      </w:r>
      <w:proofErr w:type="spellStart"/>
      <w:r w:rsidRPr="00A26181">
        <w:rPr>
          <w:rFonts w:ascii="Arial" w:hAnsi="Arial" w:cs="Arial"/>
          <w:i/>
          <w:iCs/>
          <w:sz w:val="22"/>
        </w:rPr>
        <w:t>kryptosvětě</w:t>
      </w:r>
      <w:proofErr w:type="spellEnd"/>
      <w:r w:rsidRPr="00A26181">
        <w:rPr>
          <w:rFonts w:ascii="Arial" w:hAnsi="Arial" w:cs="Arial"/>
          <w:i/>
          <w:iCs/>
          <w:sz w:val="22"/>
        </w:rPr>
        <w:t xml:space="preserve"> existují. Nicméně jejich identifikaci zvládnou pouze velmi sofistikovaní investoři, kteří dokáž</w:t>
      </w:r>
      <w:r w:rsidR="00A26181">
        <w:rPr>
          <w:rFonts w:ascii="Arial" w:hAnsi="Arial" w:cs="Arial"/>
          <w:i/>
          <w:iCs/>
          <w:sz w:val="22"/>
        </w:rPr>
        <w:t>ou</w:t>
      </w:r>
      <w:r w:rsidRPr="00A26181">
        <w:rPr>
          <w:rFonts w:ascii="Arial" w:hAnsi="Arial" w:cs="Arial"/>
          <w:i/>
          <w:iCs/>
          <w:sz w:val="22"/>
        </w:rPr>
        <w:t xml:space="preserve"> dané kryptoměně či tokenu porozumět i z technického IT hlediska. Pro drtivou většinu retailových investorů představuje investování do krypta čirý </w:t>
      </w:r>
      <w:proofErr w:type="spellStart"/>
      <w:r w:rsidRPr="00A26181">
        <w:rPr>
          <w:rFonts w:ascii="Arial" w:hAnsi="Arial" w:cs="Arial"/>
          <w:i/>
          <w:iCs/>
          <w:sz w:val="22"/>
        </w:rPr>
        <w:t>gambling</w:t>
      </w:r>
      <w:proofErr w:type="spellEnd"/>
      <w:r w:rsidRPr="00A26181">
        <w:rPr>
          <w:rFonts w:ascii="Arial" w:hAnsi="Arial" w:cs="Arial"/>
          <w:i/>
          <w:iCs/>
          <w:sz w:val="22"/>
        </w:rPr>
        <w:t>. A ten v dlouhodobém horizontu, jak všichni víme, zřídkakdy končí dobře.“</w:t>
      </w:r>
    </w:p>
    <w:p w14:paraId="015BABF2" w14:textId="77777777" w:rsidR="00E26494" w:rsidRPr="007F6264" w:rsidRDefault="00E26494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131EF077" w14:textId="77777777" w:rsidR="00962FC3" w:rsidRPr="007F6264" w:rsidRDefault="00962FC3" w:rsidP="00C16EFA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14:paraId="2D43CCC1" w14:textId="2394B74F" w:rsidR="00C70420" w:rsidRPr="007F6264" w:rsidRDefault="00C70420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p w14:paraId="3FCFE5A7" w14:textId="27C7850D" w:rsidR="004658F3" w:rsidRPr="007F6264" w:rsidRDefault="004658F3" w:rsidP="00C16EFA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Mkatabulky"/>
        <w:tblpPr w:leftFromText="142" w:rightFromText="142" w:vertAnchor="page" w:horzAnchor="margin" w:tblpY="1113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2982"/>
        <w:gridCol w:w="2659"/>
      </w:tblGrid>
      <w:tr w:rsidR="00962FC3" w:rsidRPr="007F6264" w14:paraId="2C425CB2" w14:textId="77777777" w:rsidTr="003A734C">
        <w:trPr>
          <w:trHeight w:val="284"/>
        </w:trPr>
        <w:tc>
          <w:tcPr>
            <w:tcW w:w="2122" w:type="dxa"/>
            <w:tcBorders>
              <w:top w:val="single" w:sz="8" w:space="0" w:color="A6A6A6" w:themeColor="background1" w:themeShade="A6"/>
            </w:tcBorders>
          </w:tcPr>
          <w:p w14:paraId="24FBBF14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8"/>
              </w:rPr>
            </w:pPr>
          </w:p>
        </w:tc>
        <w:tc>
          <w:tcPr>
            <w:tcW w:w="8334" w:type="dxa"/>
            <w:gridSpan w:val="3"/>
            <w:tcBorders>
              <w:top w:val="single" w:sz="8" w:space="0" w:color="A6A6A6" w:themeColor="background1" w:themeShade="A6"/>
            </w:tcBorders>
          </w:tcPr>
          <w:p w14:paraId="68DE1E6E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</w:tr>
      <w:tr w:rsidR="00962FC3" w:rsidRPr="007F6264" w14:paraId="0005179F" w14:textId="77777777" w:rsidTr="003A734C">
        <w:trPr>
          <w:trHeight w:val="1127"/>
        </w:trPr>
        <w:tc>
          <w:tcPr>
            <w:tcW w:w="2122" w:type="dxa"/>
          </w:tcPr>
          <w:p w14:paraId="08EAE060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  <w:color w:val="FFC832" w:themeColor="background2"/>
                <w:sz w:val="28"/>
              </w:rPr>
              <w:t>Investujte.</w:t>
            </w:r>
            <w:r w:rsidRPr="007F6264">
              <w:rPr>
                <w:rFonts w:ascii="Arial" w:hAnsi="Arial" w:cs="Arial"/>
                <w:b/>
                <w:color w:val="FFC832" w:themeColor="background2"/>
                <w:sz w:val="28"/>
              </w:rPr>
              <w:br/>
              <w:t>CYRRUS</w:t>
            </w:r>
          </w:p>
        </w:tc>
        <w:tc>
          <w:tcPr>
            <w:tcW w:w="8334" w:type="dxa"/>
            <w:gridSpan w:val="3"/>
          </w:tcPr>
          <w:p w14:paraId="35AE6FD5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</w:rPr>
              <w:t xml:space="preserve">V roce 1995 jsme se vydali na cestu brokera. 25 let obchodujeme s cennými papíry, staráme se </w:t>
            </w:r>
            <w:r w:rsidRPr="007F6264">
              <w:rPr>
                <w:rFonts w:ascii="Arial" w:hAnsi="Arial" w:cs="Arial"/>
              </w:rPr>
              <w:br/>
              <w:t>o své klienty, reagujeme na dění ve světě a rozvíjíme se. Díky tomu vám můžeme přinášet stále nové služby a inovativní možnosti investování. Jsme CYRRUS.</w:t>
            </w:r>
          </w:p>
        </w:tc>
      </w:tr>
      <w:tr w:rsidR="00962FC3" w:rsidRPr="007F6264" w14:paraId="3684E0CB" w14:textId="77777777" w:rsidTr="003A734C">
        <w:trPr>
          <w:trHeight w:val="1895"/>
        </w:trPr>
        <w:tc>
          <w:tcPr>
            <w:tcW w:w="2122" w:type="dxa"/>
            <w:vMerge w:val="restart"/>
          </w:tcPr>
          <w:p w14:paraId="5E67EF0C" w14:textId="77777777" w:rsidR="00962FC3" w:rsidRPr="007F6264" w:rsidRDefault="00036CDC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9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Loga ke stažení</w:t>
              </w:r>
            </w:hyperlink>
          </w:p>
          <w:p w14:paraId="544A99B8" w14:textId="77777777" w:rsidR="00962FC3" w:rsidRPr="007F6264" w:rsidRDefault="00036CDC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10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Obecné fotografie</w:t>
              </w:r>
            </w:hyperlink>
          </w:p>
          <w:p w14:paraId="4CF800EF" w14:textId="77777777" w:rsidR="00962FC3" w:rsidRPr="007F6264" w:rsidRDefault="00962FC3" w:rsidP="00C16EFA">
            <w:pPr>
              <w:pStyle w:val="Zpat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Název společnosti píšeme velkými písmeny a neskloňujeme.</w:t>
            </w:r>
          </w:p>
          <w:p w14:paraId="6148A98A" w14:textId="77777777" w:rsidR="00962FC3" w:rsidRPr="007F6264" w:rsidRDefault="00962FC3" w:rsidP="00C16EFA">
            <w:pPr>
              <w:pStyle w:val="Zpat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Vyslovujeme [CYRRUS].</w:t>
            </w:r>
          </w:p>
          <w:p w14:paraId="3B9CEF5F" w14:textId="77777777" w:rsidR="00962FC3" w:rsidRPr="007F6264" w:rsidRDefault="00036CDC" w:rsidP="00C16EFA">
            <w:pPr>
              <w:pStyle w:val="Zpat"/>
              <w:jc w:val="both"/>
              <w:rPr>
                <w:rFonts w:ascii="Arial" w:hAnsi="Arial" w:cs="Arial"/>
                <w:sz w:val="16"/>
              </w:rPr>
            </w:pPr>
            <w:hyperlink r:id="rId11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WWW.CYRRUS.CZ</w:t>
              </w:r>
            </w:hyperlink>
          </w:p>
        </w:tc>
        <w:tc>
          <w:tcPr>
            <w:tcW w:w="2693" w:type="dxa"/>
          </w:tcPr>
          <w:p w14:paraId="0E97D9FE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49EE0B63" wp14:editId="4C37B7CB">
                  <wp:extent cx="1136488" cy="1136488"/>
                  <wp:effectExtent l="0" t="0" r="6985" b="6985"/>
                  <wp:docPr id="876" name="Obrázek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14:paraId="7292ADE0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092D6FE" wp14:editId="6C4E857E">
                  <wp:extent cx="1136488" cy="1136488"/>
                  <wp:effectExtent l="0" t="0" r="6985" b="6985"/>
                  <wp:docPr id="877" name="Obrázek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14:paraId="00256AF5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1B642DF5" wp14:editId="6D43DB28">
                  <wp:extent cx="1136488" cy="1136488"/>
                  <wp:effectExtent l="0" t="0" r="6985" b="6985"/>
                  <wp:docPr id="878" name="Obrázek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rek_Hatlapatka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FC3" w:rsidRPr="007F6264" w14:paraId="752EAB2D" w14:textId="77777777" w:rsidTr="003A734C">
        <w:tc>
          <w:tcPr>
            <w:tcW w:w="2122" w:type="dxa"/>
            <w:vMerge/>
          </w:tcPr>
          <w:p w14:paraId="22B09089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AA58FE3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>Vít Hradil</w:t>
            </w:r>
          </w:p>
          <w:p w14:paraId="6C8DF98A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sz w:val="14"/>
              </w:rPr>
            </w:pPr>
            <w:r w:rsidRPr="007F6264">
              <w:rPr>
                <w:rFonts w:ascii="Arial" w:hAnsi="Arial" w:cs="Arial"/>
                <w:sz w:val="14"/>
              </w:rPr>
              <w:t>Hlavní ekonom CYRRUS</w:t>
            </w:r>
          </w:p>
        </w:tc>
        <w:tc>
          <w:tcPr>
            <w:tcW w:w="2982" w:type="dxa"/>
          </w:tcPr>
          <w:p w14:paraId="1DAB0990" w14:textId="42E2BAC1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>Anna Píchová</w:t>
            </w:r>
          </w:p>
          <w:p w14:paraId="459A987A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4"/>
              </w:rPr>
              <w:t>Vedoucí analytického oddělení CYRRUS</w:t>
            </w:r>
          </w:p>
        </w:tc>
        <w:tc>
          <w:tcPr>
            <w:tcW w:w="2659" w:type="dxa"/>
          </w:tcPr>
          <w:p w14:paraId="56D85EE1" w14:textId="4347711D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  <w:b/>
              </w:rPr>
            </w:pPr>
            <w:r w:rsidRPr="007F6264">
              <w:rPr>
                <w:rFonts w:ascii="Arial" w:hAnsi="Arial" w:cs="Arial"/>
                <w:b/>
              </w:rPr>
              <w:t>Tomáš Pfeiler</w:t>
            </w:r>
          </w:p>
          <w:p w14:paraId="45BCC06B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4"/>
              </w:rPr>
              <w:t>Portfolio manažer CYRRUS</w:t>
            </w:r>
          </w:p>
        </w:tc>
      </w:tr>
      <w:tr w:rsidR="00962FC3" w:rsidRPr="007F6264" w14:paraId="5F2A1820" w14:textId="77777777" w:rsidTr="003A734C">
        <w:tc>
          <w:tcPr>
            <w:tcW w:w="2122" w:type="dxa"/>
            <w:vMerge/>
          </w:tcPr>
          <w:p w14:paraId="1A69C32E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671697D" w14:textId="77777777" w:rsidR="00962FC3" w:rsidRPr="007F6264" w:rsidRDefault="00962FC3" w:rsidP="00C16EFA">
            <w:pPr>
              <w:jc w:val="center"/>
              <w:rPr>
                <w:rFonts w:ascii="Arial" w:hAnsi="Arial" w:cs="Arial"/>
                <w:sz w:val="16"/>
              </w:rPr>
            </w:pPr>
            <w:r w:rsidRPr="007F6264">
              <w:rPr>
                <w:rFonts w:ascii="Arial" w:hAnsi="Arial" w:cs="Arial"/>
                <w:sz w:val="16"/>
              </w:rPr>
              <w:t>277 021 816</w:t>
            </w:r>
            <w:r w:rsidRPr="007F6264">
              <w:rPr>
                <w:rFonts w:ascii="Arial" w:hAnsi="Arial" w:cs="Arial"/>
                <w:sz w:val="16"/>
              </w:rPr>
              <w:br/>
              <w:t>vit.hradil@cyrrus.cz</w:t>
            </w:r>
          </w:p>
        </w:tc>
        <w:tc>
          <w:tcPr>
            <w:tcW w:w="2982" w:type="dxa"/>
          </w:tcPr>
          <w:p w14:paraId="27E8DFF1" w14:textId="77777777" w:rsidR="00962FC3" w:rsidRPr="007F6264" w:rsidRDefault="00962FC3" w:rsidP="00C16EFA">
            <w:pPr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6"/>
              </w:rPr>
              <w:t>538 705 765</w:t>
            </w:r>
            <w:r w:rsidRPr="007F6264">
              <w:rPr>
                <w:rFonts w:ascii="Arial" w:hAnsi="Arial" w:cs="Arial"/>
                <w:sz w:val="16"/>
              </w:rPr>
              <w:br/>
              <w:t>anna.pichova@cyrrus.cz</w:t>
            </w:r>
          </w:p>
        </w:tc>
        <w:tc>
          <w:tcPr>
            <w:tcW w:w="2659" w:type="dxa"/>
          </w:tcPr>
          <w:p w14:paraId="2BE3D9DF" w14:textId="77777777" w:rsidR="00962FC3" w:rsidRPr="007F6264" w:rsidRDefault="00962FC3" w:rsidP="00C16EFA">
            <w:pPr>
              <w:pStyle w:val="Zpat"/>
              <w:jc w:val="center"/>
              <w:rPr>
                <w:rFonts w:ascii="Arial" w:hAnsi="Arial" w:cs="Arial"/>
              </w:rPr>
            </w:pPr>
            <w:r w:rsidRPr="007F6264">
              <w:rPr>
                <w:rFonts w:ascii="Arial" w:hAnsi="Arial" w:cs="Arial"/>
                <w:sz w:val="16"/>
              </w:rPr>
              <w:t>277 021 819</w:t>
            </w:r>
            <w:r w:rsidRPr="007F6264">
              <w:rPr>
                <w:rFonts w:ascii="Arial" w:hAnsi="Arial" w:cs="Arial"/>
                <w:sz w:val="16"/>
              </w:rPr>
              <w:br/>
              <w:t>tomas.pfeiler@cyrrus.cz</w:t>
            </w:r>
          </w:p>
        </w:tc>
      </w:tr>
      <w:tr w:rsidR="00962FC3" w:rsidRPr="007F6264" w14:paraId="29DACCC3" w14:textId="77777777" w:rsidTr="003A734C">
        <w:trPr>
          <w:trHeight w:val="480"/>
        </w:trPr>
        <w:tc>
          <w:tcPr>
            <w:tcW w:w="2122" w:type="dxa"/>
            <w:vMerge/>
          </w:tcPr>
          <w:p w14:paraId="6CEC74D7" w14:textId="77777777" w:rsidR="00962FC3" w:rsidRPr="007F6264" w:rsidRDefault="00962FC3" w:rsidP="00C16EFA">
            <w:pPr>
              <w:pStyle w:val="Zpat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64B478D" w14:textId="77777777" w:rsidR="00962FC3" w:rsidRPr="007F6264" w:rsidRDefault="00036CDC" w:rsidP="00C16EFA">
            <w:pPr>
              <w:jc w:val="center"/>
              <w:rPr>
                <w:rFonts w:ascii="Arial" w:hAnsi="Arial" w:cs="Arial"/>
                <w:sz w:val="16"/>
              </w:rPr>
            </w:pPr>
            <w:hyperlink r:id="rId15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982" w:type="dxa"/>
            <w:vAlign w:val="center"/>
          </w:tcPr>
          <w:p w14:paraId="5104D858" w14:textId="77777777" w:rsidR="00962FC3" w:rsidRPr="007F6264" w:rsidRDefault="00036CDC" w:rsidP="00C16EFA">
            <w:pPr>
              <w:jc w:val="center"/>
              <w:rPr>
                <w:rFonts w:ascii="Arial" w:hAnsi="Arial" w:cs="Arial"/>
                <w:sz w:val="16"/>
              </w:rPr>
            </w:pPr>
            <w:hyperlink r:id="rId16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  <w:tc>
          <w:tcPr>
            <w:tcW w:w="2659" w:type="dxa"/>
            <w:vAlign w:val="center"/>
          </w:tcPr>
          <w:p w14:paraId="41EC85EE" w14:textId="77777777" w:rsidR="00962FC3" w:rsidRPr="007F6264" w:rsidRDefault="00036CDC" w:rsidP="00C16EFA">
            <w:pPr>
              <w:pStyle w:val="Zpat"/>
              <w:jc w:val="center"/>
              <w:rPr>
                <w:rFonts w:ascii="Arial" w:hAnsi="Arial" w:cs="Arial"/>
                <w:sz w:val="16"/>
              </w:rPr>
            </w:pPr>
            <w:hyperlink r:id="rId17" w:history="1">
              <w:r w:rsidR="00962FC3" w:rsidRPr="007F6264">
                <w:rPr>
                  <w:rStyle w:val="Hypertextovodkaz"/>
                  <w:rFonts w:ascii="Arial" w:hAnsi="Arial" w:cs="Arial"/>
                  <w:sz w:val="16"/>
                </w:rPr>
                <w:t>Fotografie</w:t>
              </w:r>
            </w:hyperlink>
          </w:p>
        </w:tc>
      </w:tr>
    </w:tbl>
    <w:p w14:paraId="5D32B31B" w14:textId="77777777" w:rsidR="004658F3" w:rsidRPr="007F6264" w:rsidRDefault="004658F3" w:rsidP="00C16EFA">
      <w:pPr>
        <w:spacing w:after="0" w:line="240" w:lineRule="auto"/>
        <w:rPr>
          <w:rFonts w:ascii="Arial" w:hAnsi="Arial" w:cs="Arial"/>
          <w:sz w:val="22"/>
        </w:rPr>
      </w:pPr>
    </w:p>
    <w:sectPr w:rsidR="004658F3" w:rsidRPr="007F6264" w:rsidSect="00615E14">
      <w:headerReference w:type="default" r:id="rId18"/>
      <w:footerReference w:type="default" r:id="rId19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705C7" w14:textId="77777777" w:rsidR="00036CDC" w:rsidRDefault="00036CDC" w:rsidP="00605702">
      <w:pPr>
        <w:spacing w:after="0" w:line="240" w:lineRule="auto"/>
      </w:pPr>
      <w:r>
        <w:separator/>
      </w:r>
    </w:p>
  </w:endnote>
  <w:endnote w:type="continuationSeparator" w:id="0">
    <w:p w14:paraId="07834585" w14:textId="77777777" w:rsidR="00036CDC" w:rsidRDefault="00036CDC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20B0604020202020204"/>
    <w:charset w:val="00"/>
    <w:family w:val="modern"/>
    <w:pitch w:val="variable"/>
    <w:sig w:usb0="80000207" w:usb1="00000073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xa Extra Bold">
    <w:altName w:val="Calibri"/>
    <w:panose1 w:val="020B0604020202020204"/>
    <w:charset w:val="00"/>
    <w:family w:val="modern"/>
    <w:notTrueType/>
    <w:pitch w:val="variable"/>
    <w:sig w:usb0="80000207" w:usb1="00000073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EndPr/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B38D" w14:textId="77777777" w:rsidR="00036CDC" w:rsidRDefault="00036CDC" w:rsidP="00605702">
      <w:pPr>
        <w:spacing w:after="0" w:line="240" w:lineRule="auto"/>
      </w:pPr>
      <w:r>
        <w:separator/>
      </w:r>
    </w:p>
  </w:footnote>
  <w:footnote w:type="continuationSeparator" w:id="0">
    <w:p w14:paraId="1840BABA" w14:textId="77777777" w:rsidR="00036CDC" w:rsidRDefault="00036CDC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6CDC"/>
    <w:rsid w:val="00064842"/>
    <w:rsid w:val="00070A8C"/>
    <w:rsid w:val="000D7A59"/>
    <w:rsid w:val="00186B8D"/>
    <w:rsid w:val="00193B47"/>
    <w:rsid w:val="001C718D"/>
    <w:rsid w:val="001D3007"/>
    <w:rsid w:val="001D55ED"/>
    <w:rsid w:val="001F4169"/>
    <w:rsid w:val="001F6D66"/>
    <w:rsid w:val="00204B95"/>
    <w:rsid w:val="002C49B3"/>
    <w:rsid w:val="002D1822"/>
    <w:rsid w:val="00301D0F"/>
    <w:rsid w:val="00317AF0"/>
    <w:rsid w:val="00317CC4"/>
    <w:rsid w:val="00320A11"/>
    <w:rsid w:val="00324AA0"/>
    <w:rsid w:val="00324D55"/>
    <w:rsid w:val="00332635"/>
    <w:rsid w:val="00336DF1"/>
    <w:rsid w:val="003673E8"/>
    <w:rsid w:val="00376BBA"/>
    <w:rsid w:val="003838B3"/>
    <w:rsid w:val="003961A5"/>
    <w:rsid w:val="003B0F0D"/>
    <w:rsid w:val="004658F3"/>
    <w:rsid w:val="0047072B"/>
    <w:rsid w:val="00470B3A"/>
    <w:rsid w:val="00475FDF"/>
    <w:rsid w:val="004928ED"/>
    <w:rsid w:val="00495056"/>
    <w:rsid w:val="004F0295"/>
    <w:rsid w:val="004F5DBF"/>
    <w:rsid w:val="00552B9C"/>
    <w:rsid w:val="00571E21"/>
    <w:rsid w:val="00575991"/>
    <w:rsid w:val="00605702"/>
    <w:rsid w:val="00615E14"/>
    <w:rsid w:val="006420B6"/>
    <w:rsid w:val="00687909"/>
    <w:rsid w:val="006C56E1"/>
    <w:rsid w:val="006D4A78"/>
    <w:rsid w:val="006F71E9"/>
    <w:rsid w:val="00711950"/>
    <w:rsid w:val="00723F0C"/>
    <w:rsid w:val="007769EB"/>
    <w:rsid w:val="00776D65"/>
    <w:rsid w:val="007A6A6C"/>
    <w:rsid w:val="007E58EA"/>
    <w:rsid w:val="007F4FFC"/>
    <w:rsid w:val="007F6264"/>
    <w:rsid w:val="008125F8"/>
    <w:rsid w:val="008274D4"/>
    <w:rsid w:val="008969A5"/>
    <w:rsid w:val="008A5174"/>
    <w:rsid w:val="008B02AC"/>
    <w:rsid w:val="008B6C25"/>
    <w:rsid w:val="00924009"/>
    <w:rsid w:val="009257A9"/>
    <w:rsid w:val="00962FC3"/>
    <w:rsid w:val="00991FD8"/>
    <w:rsid w:val="009A1CD3"/>
    <w:rsid w:val="009A29D7"/>
    <w:rsid w:val="009C3F94"/>
    <w:rsid w:val="009D0819"/>
    <w:rsid w:val="009D4FCD"/>
    <w:rsid w:val="009F1029"/>
    <w:rsid w:val="00A016E3"/>
    <w:rsid w:val="00A26181"/>
    <w:rsid w:val="00A574B8"/>
    <w:rsid w:val="00A82C63"/>
    <w:rsid w:val="00AB1AB4"/>
    <w:rsid w:val="00AB7861"/>
    <w:rsid w:val="00B07918"/>
    <w:rsid w:val="00B14102"/>
    <w:rsid w:val="00B273EE"/>
    <w:rsid w:val="00B30D9F"/>
    <w:rsid w:val="00B61489"/>
    <w:rsid w:val="00B70D82"/>
    <w:rsid w:val="00C16EFA"/>
    <w:rsid w:val="00C340FD"/>
    <w:rsid w:val="00C506E3"/>
    <w:rsid w:val="00C53BDC"/>
    <w:rsid w:val="00C70420"/>
    <w:rsid w:val="00C756E6"/>
    <w:rsid w:val="00C81A45"/>
    <w:rsid w:val="00C82E0C"/>
    <w:rsid w:val="00C8580B"/>
    <w:rsid w:val="00C90383"/>
    <w:rsid w:val="00CC1205"/>
    <w:rsid w:val="00CE6EA9"/>
    <w:rsid w:val="00D22348"/>
    <w:rsid w:val="00D81921"/>
    <w:rsid w:val="00D8229C"/>
    <w:rsid w:val="00D85F08"/>
    <w:rsid w:val="00D86B39"/>
    <w:rsid w:val="00D93C41"/>
    <w:rsid w:val="00DC22DE"/>
    <w:rsid w:val="00DE0EDC"/>
    <w:rsid w:val="00DF71D4"/>
    <w:rsid w:val="00E26494"/>
    <w:rsid w:val="00E4423E"/>
    <w:rsid w:val="00E55539"/>
    <w:rsid w:val="00E72F8B"/>
    <w:rsid w:val="00EA441F"/>
    <w:rsid w:val="00EA796B"/>
    <w:rsid w:val="00EC6888"/>
    <w:rsid w:val="00EC7711"/>
    <w:rsid w:val="00EF74A0"/>
    <w:rsid w:val="00F31081"/>
    <w:rsid w:val="00F6759D"/>
    <w:rsid w:val="00FB75B3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tkaniinvestoru.cz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drive.google.com/drive/folders/1Pb9tUOEcdhfonu6zVTjV4m31ie-IyX8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MeZo5wihB3CrVaIX8js6pa9IlXG_FjHi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yrrus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P3hMpirSa6iyRyoOgXS0_zrCmPe6vQtG?usp=sharing" TargetMode="External"/><Relationship Id="rId10" Type="http://schemas.openxmlformats.org/officeDocument/2006/relationships/hyperlink" Target="https://drive.google.com/drive/folders/1vJynKESL_uoi_KOQQVqono-903qtLnsU?usp=shar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gDkeWiLU3qJzaTgRJrZ8pGLI6RAL4CKL?usp=sharin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C:\Users\Veronika Hášová\AppData\Local\Microsoft\Windows\INetCache\Content.Outlook\3UKEPCA5\TZ_CYRRUS-sablona-2022.dotx</Template>
  <TotalTime>4</TotalTime>
  <Pages>2</Pages>
  <Words>1046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Tomáš Zavoral</cp:lastModifiedBy>
  <cp:revision>3</cp:revision>
  <cp:lastPrinted>2020-10-26T13:09:00Z</cp:lastPrinted>
  <dcterms:created xsi:type="dcterms:W3CDTF">2022-03-10T10:28:00Z</dcterms:created>
  <dcterms:modified xsi:type="dcterms:W3CDTF">2022-03-10T10:36:00Z</dcterms:modified>
</cp:coreProperties>
</file>